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E0C0" w14:textId="77777777" w:rsidR="00A347A9" w:rsidRDefault="00A347A9" w:rsidP="00A347A9">
      <w:pPr>
        <w:pStyle w:val="Heading1"/>
        <w:spacing w:line="276" w:lineRule="auto"/>
        <w:rPr>
          <w:b/>
          <w:bCs/>
          <w:color w:val="000000" w:themeColor="text1"/>
        </w:rPr>
      </w:pPr>
      <w:r>
        <w:rPr>
          <w:b/>
          <w:bCs/>
          <w:color w:val="000000" w:themeColor="text1"/>
        </w:rPr>
        <w:t xml:space="preserve">Supplementary material </w:t>
      </w:r>
    </w:p>
    <w:p w14:paraId="11FC208D" w14:textId="77777777" w:rsidR="008614EA" w:rsidRPr="008614EA" w:rsidRDefault="008614EA" w:rsidP="008614EA"/>
    <w:p w14:paraId="18B5F762" w14:textId="571721EC" w:rsidR="005701A5" w:rsidRDefault="00691F75" w:rsidP="00337E0F">
      <w:pPr>
        <w:pStyle w:val="Heading2"/>
        <w:rPr>
          <w:color w:val="auto"/>
        </w:rPr>
      </w:pPr>
      <w:r>
        <w:rPr>
          <w:color w:val="auto"/>
        </w:rPr>
        <w:t xml:space="preserve">S1. </w:t>
      </w:r>
      <w:r w:rsidR="0067364C">
        <w:rPr>
          <w:color w:val="auto"/>
        </w:rPr>
        <w:t>Supplementary tables</w:t>
      </w:r>
      <w:r w:rsidR="00A347A9" w:rsidRPr="007C4064">
        <w:rPr>
          <w:color w:val="auto"/>
        </w:rPr>
        <w:t xml:space="preserve"> </w:t>
      </w:r>
    </w:p>
    <w:p w14:paraId="3AFA132C" w14:textId="77777777" w:rsidR="00337E0F" w:rsidRPr="00337E0F" w:rsidRDefault="00337E0F" w:rsidP="00337E0F"/>
    <w:p w14:paraId="262C4CCB" w14:textId="56B203F9" w:rsidR="00A347A9" w:rsidRPr="00A13782" w:rsidRDefault="00A347A9" w:rsidP="00A347A9">
      <w:pPr>
        <w:spacing w:line="276" w:lineRule="auto"/>
      </w:pPr>
      <w:r w:rsidRPr="00A13782">
        <w:t xml:space="preserve">Table </w:t>
      </w:r>
      <w:r w:rsidR="00691F75" w:rsidRPr="00A13782">
        <w:t>S1</w:t>
      </w:r>
      <w:r w:rsidRPr="00A13782">
        <w:t xml:space="preserve"> Variance Inflation Factor per indicator</w:t>
      </w:r>
      <w:r w:rsidR="005701A5" w:rsidRPr="00A13782">
        <w:t xml:space="preserve">. </w:t>
      </w:r>
      <w:r w:rsidR="005701A5" w:rsidRPr="005701A5">
        <w:t xml:space="preserve">Variance Inflation Factor (VIF) is a measure used to detect multicollinearity in regression analysis. It quantifies how much the variance of an estimated regression coefficient is inflated due to multicollinearity. A VIF value of 5 or higher can be a sign of moderate multicollinearity </w:t>
      </w:r>
      <w:r w:rsidR="00F0497F">
        <w:fldChar w:fldCharType="begin"/>
      </w:r>
      <w:r w:rsidR="00A13782">
        <w:instrText xml:space="preserve"> ADDIN EN.CITE &lt;EndNote&gt;&lt;Cite&gt;&lt;Author&gt;James&lt;/Author&gt;&lt;Year&gt;2013&lt;/Year&gt;&lt;RecNum&gt;1930&lt;/RecNum&gt;&lt;DisplayText&gt;(James et al., 2013)&lt;/DisplayText&gt;&lt;record&gt;&lt;rec-number&gt;1930&lt;/rec-number&gt;&lt;foreign-keys&gt;&lt;key app="EN" db-id="ppetvv0fwxp2x4ee2pcpfxpb0w0eexxrtf90" timestamp="1703087825"&gt;1930&lt;/key&gt;&lt;/foreign-keys&gt;&lt;ref-type name="Book"&gt;6&lt;/ref-type&gt;&lt;contributors&gt;&lt;authors&gt;&lt;author&gt;James, G., &lt;/author&gt;&lt;author&gt;Witten, D., &lt;/author&gt;&lt;author&gt;Hastie, T., &lt;/author&gt;&lt;author&gt;Tibshirani, R. (eds.)&lt;/author&gt;&lt;/authors&gt;&lt;/contributors&gt;&lt;titles&gt;&lt;title&gt;An introduction to statistical learning: with applications in R.&lt;/title&gt;&lt;/titles&gt;&lt;dates&gt;&lt;year&gt;2013&lt;/year&gt;&lt;/dates&gt;&lt;pub-location&gt;New York&lt;/pub-location&gt;&lt;publisher&gt;Springer&lt;/publisher&gt;&lt;urls&gt;&lt;/urls&gt;&lt;/record&gt;&lt;/Cite&gt;&lt;Cite&gt;&lt;Author&gt;James&lt;/Author&gt;&lt;Year&gt;2013&lt;/Year&gt;&lt;RecNum&gt;1930&lt;/RecNum&gt;&lt;record&gt;&lt;rec-number&gt;1930&lt;/rec-number&gt;&lt;foreign-keys&gt;&lt;key app="EN" db-id="ppetvv0fwxp2x4ee2pcpfxpb0w0eexxrtf90" timestamp="1703087825"&gt;1930&lt;/key&gt;&lt;/foreign-keys&gt;&lt;ref-type name="Book"&gt;6&lt;/ref-type&gt;&lt;contributors&gt;&lt;authors&gt;&lt;author&gt;James, G., &lt;/author&gt;&lt;author&gt;Witten, D., &lt;/author&gt;&lt;author&gt;Hastie, T., &lt;/author&gt;&lt;author&gt;Tibshirani, R. (eds.)&lt;/author&gt;&lt;/authors&gt;&lt;/contributors&gt;&lt;titles&gt;&lt;title&gt;An introduction to statistical learning: with applications in R.&lt;/title&gt;&lt;/titles&gt;&lt;dates&gt;&lt;year&gt;2013&lt;/year&gt;&lt;/dates&gt;&lt;pub-location&gt;New York&lt;/pub-location&gt;&lt;publisher&gt;Springer&lt;/publisher&gt;&lt;urls&gt;&lt;/urls&gt;&lt;/record&gt;&lt;/Cite&gt;&lt;/EndNote&gt;</w:instrText>
      </w:r>
      <w:r w:rsidR="00F0497F">
        <w:fldChar w:fldCharType="separate"/>
      </w:r>
      <w:r w:rsidR="00F0497F">
        <w:rPr>
          <w:noProof/>
        </w:rPr>
        <w:t>(James et al., 2013)</w:t>
      </w:r>
      <w:r w:rsidR="00F0497F">
        <w:fldChar w:fldCharType="end"/>
      </w:r>
      <w:r w:rsidR="005701A5" w:rsidRPr="005701A5">
        <w:t>.</w:t>
      </w:r>
    </w:p>
    <w:tbl>
      <w:tblPr>
        <w:tblStyle w:val="TableGrid"/>
        <w:tblW w:w="0" w:type="auto"/>
        <w:tblLook w:val="04A0" w:firstRow="1" w:lastRow="0" w:firstColumn="1" w:lastColumn="0" w:noHBand="0" w:noVBand="1"/>
      </w:tblPr>
      <w:tblGrid>
        <w:gridCol w:w="1980"/>
        <w:gridCol w:w="2835"/>
      </w:tblGrid>
      <w:tr w:rsidR="00A347A9" w14:paraId="55A8EE69" w14:textId="77777777" w:rsidTr="00A956CA">
        <w:tc>
          <w:tcPr>
            <w:tcW w:w="1980" w:type="dxa"/>
          </w:tcPr>
          <w:p w14:paraId="0C8AC02C" w14:textId="77777777" w:rsidR="00A347A9" w:rsidRPr="004E094C" w:rsidRDefault="00A347A9" w:rsidP="00A956CA">
            <w:pPr>
              <w:spacing w:line="276" w:lineRule="auto"/>
              <w:rPr>
                <w:b/>
                <w:bCs/>
                <w:color w:val="000000"/>
                <w:sz w:val="21"/>
                <w:szCs w:val="21"/>
              </w:rPr>
            </w:pPr>
            <w:r w:rsidRPr="004E094C">
              <w:rPr>
                <w:b/>
                <w:bCs/>
                <w:color w:val="000000"/>
                <w:sz w:val="21"/>
                <w:szCs w:val="21"/>
              </w:rPr>
              <w:t>Indicator</w:t>
            </w:r>
          </w:p>
        </w:tc>
        <w:tc>
          <w:tcPr>
            <w:tcW w:w="2835" w:type="dxa"/>
          </w:tcPr>
          <w:p w14:paraId="41FB02D8" w14:textId="77777777" w:rsidR="00A347A9" w:rsidRPr="004E094C" w:rsidRDefault="00A347A9" w:rsidP="00A956CA">
            <w:pPr>
              <w:spacing w:line="276" w:lineRule="auto"/>
              <w:rPr>
                <w:b/>
                <w:bCs/>
                <w:color w:val="000000"/>
                <w:sz w:val="21"/>
                <w:szCs w:val="21"/>
              </w:rPr>
            </w:pPr>
            <w:r w:rsidRPr="004E094C">
              <w:rPr>
                <w:b/>
                <w:bCs/>
                <w:color w:val="000000"/>
                <w:sz w:val="21"/>
                <w:szCs w:val="21"/>
              </w:rPr>
              <w:t>Variance Inflation Factor (VIF)</w:t>
            </w:r>
          </w:p>
        </w:tc>
      </w:tr>
      <w:tr w:rsidR="00A347A9" w14:paraId="3F64649A" w14:textId="77777777" w:rsidTr="00A956CA">
        <w:tc>
          <w:tcPr>
            <w:tcW w:w="1980" w:type="dxa"/>
          </w:tcPr>
          <w:p w14:paraId="4CCF1918" w14:textId="792C24EF" w:rsidR="00A347A9" w:rsidRDefault="00A347A9" w:rsidP="00A956CA">
            <w:pPr>
              <w:spacing w:line="276" w:lineRule="auto"/>
            </w:pPr>
            <w:r w:rsidRPr="00420CD4">
              <w:rPr>
                <w:color w:val="000000"/>
                <w:sz w:val="21"/>
                <w:szCs w:val="21"/>
              </w:rPr>
              <w:t>G</w:t>
            </w:r>
            <w:r w:rsidR="00223375">
              <w:rPr>
                <w:color w:val="000000"/>
                <w:sz w:val="21"/>
                <w:szCs w:val="21"/>
              </w:rPr>
              <w:t>N</w:t>
            </w:r>
            <w:r w:rsidRPr="00420CD4">
              <w:rPr>
                <w:color w:val="000000"/>
                <w:sz w:val="21"/>
                <w:szCs w:val="21"/>
              </w:rPr>
              <w:t xml:space="preserve">I per cap   </w:t>
            </w:r>
          </w:p>
        </w:tc>
        <w:tc>
          <w:tcPr>
            <w:tcW w:w="2835" w:type="dxa"/>
          </w:tcPr>
          <w:p w14:paraId="40029D96" w14:textId="77777777" w:rsidR="00A347A9" w:rsidRDefault="00A347A9" w:rsidP="00A956CA">
            <w:pPr>
              <w:spacing w:line="276" w:lineRule="auto"/>
            </w:pPr>
            <w:r>
              <w:rPr>
                <w:color w:val="000000"/>
                <w:sz w:val="21"/>
                <w:szCs w:val="21"/>
              </w:rPr>
              <w:t>2.33</w:t>
            </w:r>
            <w:r w:rsidRPr="00420CD4">
              <w:rPr>
                <w:color w:val="000000"/>
                <w:sz w:val="21"/>
                <w:szCs w:val="21"/>
              </w:rPr>
              <w:t xml:space="preserve">    </w:t>
            </w:r>
          </w:p>
        </w:tc>
      </w:tr>
      <w:tr w:rsidR="00A347A9" w14:paraId="2506D9EE" w14:textId="77777777" w:rsidTr="00A956CA">
        <w:tc>
          <w:tcPr>
            <w:tcW w:w="1980" w:type="dxa"/>
          </w:tcPr>
          <w:p w14:paraId="09742B03" w14:textId="77777777" w:rsidR="00A347A9" w:rsidRDefault="00A347A9" w:rsidP="00A956CA">
            <w:pPr>
              <w:spacing w:line="276" w:lineRule="auto"/>
            </w:pPr>
            <w:r w:rsidRPr="00420CD4">
              <w:rPr>
                <w:color w:val="000000"/>
                <w:sz w:val="21"/>
                <w:szCs w:val="21"/>
              </w:rPr>
              <w:t xml:space="preserve">Inequality (GINI)    </w:t>
            </w:r>
          </w:p>
        </w:tc>
        <w:tc>
          <w:tcPr>
            <w:tcW w:w="2835" w:type="dxa"/>
          </w:tcPr>
          <w:p w14:paraId="48A2B502" w14:textId="77777777" w:rsidR="00A347A9" w:rsidRDefault="00A347A9" w:rsidP="00A956CA">
            <w:pPr>
              <w:spacing w:line="276" w:lineRule="auto"/>
            </w:pPr>
            <w:r w:rsidRPr="00420CD4">
              <w:rPr>
                <w:color w:val="000000"/>
                <w:sz w:val="21"/>
                <w:szCs w:val="21"/>
              </w:rPr>
              <w:t>1.4</w:t>
            </w:r>
            <w:r>
              <w:rPr>
                <w:color w:val="000000"/>
                <w:sz w:val="21"/>
                <w:szCs w:val="21"/>
              </w:rPr>
              <w:t>8</w:t>
            </w:r>
          </w:p>
        </w:tc>
      </w:tr>
      <w:tr w:rsidR="00A347A9" w14:paraId="447B0487" w14:textId="77777777" w:rsidTr="00A956CA">
        <w:tc>
          <w:tcPr>
            <w:tcW w:w="1980" w:type="dxa"/>
          </w:tcPr>
          <w:p w14:paraId="12E34EE3" w14:textId="77777777" w:rsidR="00A347A9" w:rsidRDefault="00A347A9" w:rsidP="00A956CA">
            <w:pPr>
              <w:spacing w:line="276" w:lineRule="auto"/>
            </w:pPr>
            <w:r w:rsidRPr="00420CD4">
              <w:rPr>
                <w:color w:val="000000"/>
                <w:sz w:val="21"/>
                <w:szCs w:val="21"/>
              </w:rPr>
              <w:t xml:space="preserve">Education   </w:t>
            </w:r>
          </w:p>
        </w:tc>
        <w:tc>
          <w:tcPr>
            <w:tcW w:w="2835" w:type="dxa"/>
          </w:tcPr>
          <w:p w14:paraId="3556229F" w14:textId="77777777" w:rsidR="00A347A9" w:rsidRDefault="00A347A9" w:rsidP="00A956CA">
            <w:pPr>
              <w:spacing w:line="276" w:lineRule="auto"/>
            </w:pPr>
            <w:r w:rsidRPr="00420CD4">
              <w:rPr>
                <w:color w:val="000000"/>
                <w:sz w:val="21"/>
                <w:szCs w:val="21"/>
              </w:rPr>
              <w:t>4.22</w:t>
            </w:r>
          </w:p>
        </w:tc>
      </w:tr>
      <w:tr w:rsidR="00A347A9" w14:paraId="34F989D8" w14:textId="77777777" w:rsidTr="00A956CA">
        <w:tc>
          <w:tcPr>
            <w:tcW w:w="1980" w:type="dxa"/>
          </w:tcPr>
          <w:p w14:paraId="2951FB5F" w14:textId="331656DB" w:rsidR="00A347A9" w:rsidRDefault="00A347A9" w:rsidP="00A956CA">
            <w:pPr>
              <w:spacing w:line="276" w:lineRule="auto"/>
            </w:pPr>
            <w:r w:rsidRPr="00420CD4">
              <w:rPr>
                <w:color w:val="000000"/>
                <w:sz w:val="21"/>
                <w:szCs w:val="21"/>
              </w:rPr>
              <w:t>F</w:t>
            </w:r>
            <w:r w:rsidR="00153B97">
              <w:rPr>
                <w:color w:val="000000"/>
                <w:sz w:val="21"/>
                <w:szCs w:val="21"/>
              </w:rPr>
              <w:t>luvial f</w:t>
            </w:r>
            <w:r w:rsidRPr="00420CD4">
              <w:rPr>
                <w:color w:val="000000"/>
                <w:sz w:val="21"/>
                <w:szCs w:val="21"/>
              </w:rPr>
              <w:t xml:space="preserve">lood volume    </w:t>
            </w:r>
          </w:p>
        </w:tc>
        <w:tc>
          <w:tcPr>
            <w:tcW w:w="2835" w:type="dxa"/>
          </w:tcPr>
          <w:p w14:paraId="49253F48" w14:textId="77777777" w:rsidR="00A347A9" w:rsidRDefault="00A347A9" w:rsidP="00A956CA">
            <w:pPr>
              <w:spacing w:line="276" w:lineRule="auto"/>
            </w:pPr>
            <w:r w:rsidRPr="00420CD4">
              <w:rPr>
                <w:color w:val="000000"/>
                <w:sz w:val="21"/>
                <w:szCs w:val="21"/>
              </w:rPr>
              <w:t>1.08</w:t>
            </w:r>
          </w:p>
        </w:tc>
      </w:tr>
      <w:tr w:rsidR="00A347A9" w14:paraId="0604FE4A" w14:textId="77777777" w:rsidTr="00A956CA">
        <w:tc>
          <w:tcPr>
            <w:tcW w:w="1980" w:type="dxa"/>
          </w:tcPr>
          <w:p w14:paraId="6429F164" w14:textId="77777777" w:rsidR="00A347A9" w:rsidRDefault="00A347A9" w:rsidP="00A956CA">
            <w:pPr>
              <w:spacing w:line="276" w:lineRule="auto"/>
            </w:pPr>
            <w:r w:rsidRPr="00420CD4">
              <w:rPr>
                <w:color w:val="000000"/>
                <w:sz w:val="21"/>
                <w:szCs w:val="21"/>
              </w:rPr>
              <w:t xml:space="preserve">Built-up </w:t>
            </w:r>
            <w:r>
              <w:rPr>
                <w:color w:val="000000"/>
                <w:sz w:val="21"/>
                <w:szCs w:val="21"/>
              </w:rPr>
              <w:t>land</w:t>
            </w:r>
          </w:p>
        </w:tc>
        <w:tc>
          <w:tcPr>
            <w:tcW w:w="2835" w:type="dxa"/>
          </w:tcPr>
          <w:p w14:paraId="381E85EF" w14:textId="77777777" w:rsidR="00A347A9" w:rsidRDefault="00A347A9" w:rsidP="00A95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textAlignment w:val="baseline"/>
            </w:pPr>
            <w:r w:rsidRPr="00420CD4">
              <w:rPr>
                <w:color w:val="000000"/>
                <w:sz w:val="21"/>
                <w:szCs w:val="21"/>
              </w:rPr>
              <w:t>1.17</w:t>
            </w:r>
          </w:p>
        </w:tc>
      </w:tr>
      <w:tr w:rsidR="00A347A9" w14:paraId="316FED05" w14:textId="77777777" w:rsidTr="00A956CA">
        <w:tc>
          <w:tcPr>
            <w:tcW w:w="1980" w:type="dxa"/>
          </w:tcPr>
          <w:p w14:paraId="089C15E8" w14:textId="77777777" w:rsidR="00A347A9" w:rsidRDefault="00A347A9" w:rsidP="00A956CA">
            <w:pPr>
              <w:spacing w:line="276" w:lineRule="auto"/>
            </w:pPr>
            <w:r w:rsidRPr="00420CD4">
              <w:rPr>
                <w:color w:val="000000"/>
                <w:sz w:val="21"/>
                <w:szCs w:val="21"/>
              </w:rPr>
              <w:t xml:space="preserve">Conflict    </w:t>
            </w:r>
          </w:p>
        </w:tc>
        <w:tc>
          <w:tcPr>
            <w:tcW w:w="2835" w:type="dxa"/>
          </w:tcPr>
          <w:p w14:paraId="67012186" w14:textId="77777777" w:rsidR="00A347A9" w:rsidRDefault="00A347A9" w:rsidP="00A956CA">
            <w:pPr>
              <w:spacing w:line="276" w:lineRule="auto"/>
            </w:pPr>
            <w:r w:rsidRPr="00420CD4">
              <w:rPr>
                <w:color w:val="000000"/>
                <w:sz w:val="21"/>
                <w:szCs w:val="21"/>
              </w:rPr>
              <w:t>1.01</w:t>
            </w:r>
          </w:p>
        </w:tc>
      </w:tr>
      <w:tr w:rsidR="00A347A9" w14:paraId="59F20140" w14:textId="77777777" w:rsidTr="00A956CA">
        <w:tc>
          <w:tcPr>
            <w:tcW w:w="1980" w:type="dxa"/>
          </w:tcPr>
          <w:p w14:paraId="2DE49C67" w14:textId="77777777" w:rsidR="00A347A9" w:rsidRDefault="00A347A9" w:rsidP="00A956CA">
            <w:pPr>
              <w:spacing w:line="276" w:lineRule="auto"/>
            </w:pPr>
            <w:r>
              <w:rPr>
                <w:color w:val="000000"/>
                <w:sz w:val="21"/>
                <w:szCs w:val="21"/>
              </w:rPr>
              <w:t>Dry spell</w:t>
            </w:r>
            <w:r w:rsidRPr="00420CD4">
              <w:rPr>
                <w:color w:val="000000"/>
                <w:sz w:val="21"/>
                <w:szCs w:val="21"/>
              </w:rPr>
              <w:t xml:space="preserve">  </w:t>
            </w:r>
          </w:p>
        </w:tc>
        <w:tc>
          <w:tcPr>
            <w:tcW w:w="2835" w:type="dxa"/>
          </w:tcPr>
          <w:p w14:paraId="3650EF1D" w14:textId="77777777" w:rsidR="00A347A9" w:rsidRDefault="00A347A9" w:rsidP="00A956CA">
            <w:pPr>
              <w:spacing w:line="276" w:lineRule="auto"/>
            </w:pPr>
            <w:r w:rsidRPr="00420CD4">
              <w:rPr>
                <w:color w:val="000000"/>
                <w:sz w:val="21"/>
                <w:szCs w:val="21"/>
              </w:rPr>
              <w:t>1.8</w:t>
            </w:r>
            <w:r>
              <w:rPr>
                <w:color w:val="000000"/>
                <w:sz w:val="21"/>
                <w:szCs w:val="21"/>
              </w:rPr>
              <w:t>7</w:t>
            </w:r>
          </w:p>
        </w:tc>
      </w:tr>
      <w:tr w:rsidR="00A347A9" w14:paraId="64D51B52" w14:textId="77777777" w:rsidTr="00A956CA">
        <w:tc>
          <w:tcPr>
            <w:tcW w:w="1980" w:type="dxa"/>
          </w:tcPr>
          <w:p w14:paraId="3426ECA9" w14:textId="77777777" w:rsidR="00A347A9" w:rsidRDefault="00A347A9" w:rsidP="00A956CA">
            <w:pPr>
              <w:spacing w:line="276" w:lineRule="auto"/>
            </w:pPr>
            <w:r w:rsidRPr="00420CD4">
              <w:rPr>
                <w:color w:val="000000"/>
                <w:sz w:val="21"/>
                <w:szCs w:val="21"/>
              </w:rPr>
              <w:t xml:space="preserve">Precipitation    </w:t>
            </w:r>
          </w:p>
        </w:tc>
        <w:tc>
          <w:tcPr>
            <w:tcW w:w="2835" w:type="dxa"/>
          </w:tcPr>
          <w:p w14:paraId="5451E543" w14:textId="77777777" w:rsidR="00A347A9" w:rsidRDefault="00A347A9" w:rsidP="00A956CA">
            <w:pPr>
              <w:spacing w:line="276" w:lineRule="auto"/>
            </w:pPr>
            <w:r w:rsidRPr="00420CD4">
              <w:rPr>
                <w:color w:val="000000"/>
                <w:sz w:val="21"/>
                <w:szCs w:val="21"/>
              </w:rPr>
              <w:t>1.46</w:t>
            </w:r>
          </w:p>
        </w:tc>
      </w:tr>
      <w:tr w:rsidR="00A347A9" w14:paraId="723E461F" w14:textId="77777777" w:rsidTr="00A956CA">
        <w:tc>
          <w:tcPr>
            <w:tcW w:w="1980" w:type="dxa"/>
          </w:tcPr>
          <w:p w14:paraId="5E860CC7" w14:textId="77777777" w:rsidR="00A347A9" w:rsidRDefault="00A347A9" w:rsidP="00A956CA">
            <w:pPr>
              <w:spacing w:line="276" w:lineRule="auto"/>
            </w:pPr>
            <w:r w:rsidRPr="00420CD4">
              <w:rPr>
                <w:color w:val="000000"/>
                <w:sz w:val="21"/>
                <w:szCs w:val="21"/>
              </w:rPr>
              <w:t xml:space="preserve">Yields    </w:t>
            </w:r>
          </w:p>
        </w:tc>
        <w:tc>
          <w:tcPr>
            <w:tcW w:w="2835" w:type="dxa"/>
          </w:tcPr>
          <w:p w14:paraId="57A50F06" w14:textId="77777777" w:rsidR="00A347A9" w:rsidRDefault="00A347A9" w:rsidP="00A956CA">
            <w:pPr>
              <w:spacing w:line="276" w:lineRule="auto"/>
            </w:pPr>
            <w:r w:rsidRPr="00420CD4">
              <w:rPr>
                <w:color w:val="000000"/>
                <w:sz w:val="21"/>
                <w:szCs w:val="21"/>
              </w:rPr>
              <w:t>1.5</w:t>
            </w:r>
            <w:r>
              <w:rPr>
                <w:color w:val="000000"/>
                <w:sz w:val="21"/>
                <w:szCs w:val="21"/>
              </w:rPr>
              <w:t>3</w:t>
            </w:r>
          </w:p>
        </w:tc>
      </w:tr>
      <w:tr w:rsidR="00A347A9" w14:paraId="3B65E646" w14:textId="77777777" w:rsidTr="00A956CA">
        <w:tc>
          <w:tcPr>
            <w:tcW w:w="1980" w:type="dxa"/>
          </w:tcPr>
          <w:p w14:paraId="5A151782" w14:textId="77777777" w:rsidR="00A347A9" w:rsidRDefault="00A347A9" w:rsidP="00A956CA">
            <w:pPr>
              <w:spacing w:line="276" w:lineRule="auto"/>
            </w:pPr>
            <w:r w:rsidRPr="00420CD4">
              <w:rPr>
                <w:color w:val="000000"/>
                <w:sz w:val="21"/>
                <w:szCs w:val="21"/>
              </w:rPr>
              <w:t xml:space="preserve">Temperature </w:t>
            </w:r>
          </w:p>
        </w:tc>
        <w:tc>
          <w:tcPr>
            <w:tcW w:w="2835" w:type="dxa"/>
          </w:tcPr>
          <w:p w14:paraId="7633C6FE" w14:textId="77777777" w:rsidR="00A347A9" w:rsidRDefault="00A347A9" w:rsidP="00A956CA">
            <w:pPr>
              <w:spacing w:line="276" w:lineRule="auto"/>
            </w:pPr>
            <w:r w:rsidRPr="00420CD4">
              <w:rPr>
                <w:color w:val="000000"/>
                <w:sz w:val="21"/>
                <w:szCs w:val="21"/>
              </w:rPr>
              <w:t>1.93</w:t>
            </w:r>
          </w:p>
        </w:tc>
      </w:tr>
    </w:tbl>
    <w:p w14:paraId="4F3FE9C4" w14:textId="77777777" w:rsidR="00A347A9" w:rsidRDefault="00A347A9" w:rsidP="00A347A9">
      <w:pPr>
        <w:spacing w:line="276" w:lineRule="auto"/>
      </w:pPr>
    </w:p>
    <w:p w14:paraId="3BB5A388" w14:textId="50BFCC24" w:rsidR="005701A5" w:rsidRPr="00A13782" w:rsidRDefault="005701A5" w:rsidP="005701A5">
      <w:pPr>
        <w:spacing w:line="276" w:lineRule="auto"/>
      </w:pPr>
      <w:r w:rsidRPr="00A13782">
        <w:t xml:space="preserve">Table S2: Minimum, maximum, average and standard deviation of the </w:t>
      </w:r>
      <w:r w:rsidR="009005B4">
        <w:t xml:space="preserve">yearly varying </w:t>
      </w:r>
      <w:r w:rsidRPr="00A13782">
        <w:t xml:space="preserve">sample data </w:t>
      </w:r>
      <w:r w:rsidR="00A13782">
        <w:t xml:space="preserve">per administrative unit </w:t>
      </w:r>
      <w:r w:rsidRPr="005701A5">
        <w:t>for all countries (Bangladesh, Bhutan, India, Pakistan, Nepal, Sri Lanka) over all years (2000-2019).</w:t>
      </w:r>
    </w:p>
    <w:tbl>
      <w:tblPr>
        <w:tblStyle w:val="TableGrid"/>
        <w:tblW w:w="5000" w:type="pct"/>
        <w:tblLook w:val="04A0" w:firstRow="1" w:lastRow="0" w:firstColumn="1" w:lastColumn="0" w:noHBand="0" w:noVBand="1"/>
      </w:tblPr>
      <w:tblGrid>
        <w:gridCol w:w="4651"/>
        <w:gridCol w:w="941"/>
        <w:gridCol w:w="1053"/>
        <w:gridCol w:w="1370"/>
        <w:gridCol w:w="1001"/>
      </w:tblGrid>
      <w:tr w:rsidR="005701A5" w:rsidRPr="00710BF0" w14:paraId="56CBB702" w14:textId="77777777" w:rsidTr="00922ACF">
        <w:trPr>
          <w:trHeight w:val="300"/>
        </w:trPr>
        <w:tc>
          <w:tcPr>
            <w:tcW w:w="2579" w:type="pct"/>
            <w:noWrap/>
            <w:hideMark/>
          </w:tcPr>
          <w:p w14:paraId="424F6FEC" w14:textId="77777777" w:rsidR="005701A5" w:rsidRPr="004E094C" w:rsidRDefault="005701A5" w:rsidP="00877635">
            <w:pPr>
              <w:spacing w:line="276" w:lineRule="auto"/>
              <w:rPr>
                <w:rFonts w:ascii="Times New Roman" w:eastAsia="Times New Roman" w:hAnsi="Times New Roman" w:cs="Times New Roman"/>
                <w:b/>
                <w:bCs/>
                <w:sz w:val="24"/>
                <w:szCs w:val="24"/>
                <w:lang w:eastAsia="en-GB"/>
              </w:rPr>
            </w:pPr>
            <w:r w:rsidRPr="004E094C">
              <w:rPr>
                <w:rFonts w:ascii="Calibri" w:eastAsia="Times New Roman" w:hAnsi="Calibri" w:cs="Calibri"/>
                <w:b/>
                <w:bCs/>
                <w:color w:val="000000"/>
                <w:lang w:eastAsia="en-GB"/>
              </w:rPr>
              <w:t>Indicators</w:t>
            </w:r>
          </w:p>
        </w:tc>
        <w:tc>
          <w:tcPr>
            <w:tcW w:w="522" w:type="pct"/>
            <w:noWrap/>
            <w:hideMark/>
          </w:tcPr>
          <w:p w14:paraId="7C859090" w14:textId="77777777" w:rsidR="005701A5" w:rsidRPr="004E094C" w:rsidRDefault="005701A5" w:rsidP="00877635">
            <w:pPr>
              <w:spacing w:line="276" w:lineRule="auto"/>
              <w:jc w:val="right"/>
              <w:rPr>
                <w:rFonts w:ascii="Calibri" w:eastAsia="Times New Roman" w:hAnsi="Calibri" w:cs="Calibri"/>
                <w:b/>
                <w:bCs/>
                <w:color w:val="000000"/>
                <w:lang w:eastAsia="en-GB"/>
              </w:rPr>
            </w:pPr>
            <w:r w:rsidRPr="004E094C">
              <w:rPr>
                <w:rFonts w:ascii="Calibri" w:eastAsia="Times New Roman" w:hAnsi="Calibri" w:cs="Calibri"/>
                <w:b/>
                <w:bCs/>
                <w:color w:val="000000"/>
                <w:lang w:eastAsia="en-GB"/>
              </w:rPr>
              <w:t>min</w:t>
            </w:r>
          </w:p>
        </w:tc>
        <w:tc>
          <w:tcPr>
            <w:tcW w:w="584" w:type="pct"/>
            <w:noWrap/>
            <w:hideMark/>
          </w:tcPr>
          <w:p w14:paraId="2B07F0BB" w14:textId="77777777" w:rsidR="005701A5" w:rsidRPr="004E094C" w:rsidRDefault="005701A5" w:rsidP="00877635">
            <w:pPr>
              <w:spacing w:line="276" w:lineRule="auto"/>
              <w:jc w:val="right"/>
              <w:rPr>
                <w:rFonts w:ascii="Calibri" w:eastAsia="Times New Roman" w:hAnsi="Calibri" w:cs="Calibri"/>
                <w:b/>
                <w:bCs/>
                <w:color w:val="000000"/>
                <w:lang w:eastAsia="en-GB"/>
              </w:rPr>
            </w:pPr>
            <w:r w:rsidRPr="004E094C">
              <w:rPr>
                <w:rFonts w:ascii="Calibri" w:eastAsia="Times New Roman" w:hAnsi="Calibri" w:cs="Calibri"/>
                <w:b/>
                <w:bCs/>
                <w:color w:val="000000"/>
                <w:lang w:eastAsia="en-GB"/>
              </w:rPr>
              <w:t>max</w:t>
            </w:r>
          </w:p>
        </w:tc>
        <w:tc>
          <w:tcPr>
            <w:tcW w:w="760" w:type="pct"/>
            <w:noWrap/>
            <w:hideMark/>
          </w:tcPr>
          <w:p w14:paraId="6AAAF8B1" w14:textId="77777777" w:rsidR="005701A5" w:rsidRPr="004E094C" w:rsidRDefault="005701A5" w:rsidP="00877635">
            <w:pPr>
              <w:spacing w:line="276" w:lineRule="auto"/>
              <w:jc w:val="right"/>
              <w:rPr>
                <w:rFonts w:ascii="Calibri" w:eastAsia="Times New Roman" w:hAnsi="Calibri" w:cs="Calibri"/>
                <w:b/>
                <w:bCs/>
                <w:color w:val="000000"/>
                <w:lang w:eastAsia="en-GB"/>
              </w:rPr>
            </w:pPr>
            <w:r w:rsidRPr="004E094C">
              <w:rPr>
                <w:rFonts w:ascii="Calibri" w:eastAsia="Times New Roman" w:hAnsi="Calibri" w:cs="Calibri"/>
                <w:b/>
                <w:bCs/>
                <w:color w:val="000000"/>
                <w:lang w:eastAsia="en-GB"/>
              </w:rPr>
              <w:t>Average</w:t>
            </w:r>
          </w:p>
        </w:tc>
        <w:tc>
          <w:tcPr>
            <w:tcW w:w="555" w:type="pct"/>
            <w:noWrap/>
            <w:hideMark/>
          </w:tcPr>
          <w:p w14:paraId="3C13986F" w14:textId="77777777" w:rsidR="005701A5" w:rsidRPr="004E094C" w:rsidRDefault="005701A5" w:rsidP="00877635">
            <w:pPr>
              <w:spacing w:line="276" w:lineRule="auto"/>
              <w:jc w:val="right"/>
              <w:rPr>
                <w:rFonts w:ascii="Calibri" w:eastAsia="Times New Roman" w:hAnsi="Calibri" w:cs="Calibri"/>
                <w:b/>
                <w:bCs/>
                <w:color w:val="000000"/>
                <w:lang w:eastAsia="en-GB"/>
              </w:rPr>
            </w:pPr>
            <w:r w:rsidRPr="004E094C">
              <w:rPr>
                <w:rFonts w:ascii="Calibri" w:eastAsia="Times New Roman" w:hAnsi="Calibri" w:cs="Calibri"/>
                <w:b/>
                <w:bCs/>
                <w:color w:val="000000"/>
                <w:lang w:eastAsia="en-GB"/>
              </w:rPr>
              <w:t>std</w:t>
            </w:r>
          </w:p>
        </w:tc>
      </w:tr>
      <w:tr w:rsidR="005701A5" w:rsidRPr="00710BF0" w14:paraId="5B8D1A25" w14:textId="77777777" w:rsidTr="00922ACF">
        <w:trPr>
          <w:trHeight w:val="300"/>
        </w:trPr>
        <w:tc>
          <w:tcPr>
            <w:tcW w:w="2579" w:type="pct"/>
            <w:noWrap/>
            <w:hideMark/>
          </w:tcPr>
          <w:p w14:paraId="6038BC03" w14:textId="77777777" w:rsidR="005701A5" w:rsidRPr="00710BF0" w:rsidRDefault="005701A5" w:rsidP="00877635">
            <w:pPr>
              <w:spacing w:line="276" w:lineRule="auto"/>
              <w:rPr>
                <w:rFonts w:ascii="Calibri" w:eastAsia="Times New Roman" w:hAnsi="Calibri" w:cs="Calibri"/>
                <w:color w:val="000000"/>
                <w:lang w:eastAsia="en-GB"/>
              </w:rPr>
            </w:pPr>
            <w:r w:rsidRPr="00624D69">
              <w:rPr>
                <w:rFonts w:ascii="Calibri" w:eastAsia="Times New Roman" w:hAnsi="Calibri" w:cs="Calibri"/>
                <w:color w:val="000000"/>
                <w:lang w:eastAsia="en-GB"/>
              </w:rPr>
              <w:t>GNI per capita</w:t>
            </w:r>
            <w:r>
              <w:rPr>
                <w:rFonts w:ascii="Calibri" w:eastAsia="Times New Roman" w:hAnsi="Calibri" w:cs="Calibri"/>
                <w:color w:val="000000"/>
                <w:lang w:eastAsia="en-GB"/>
              </w:rPr>
              <w:t xml:space="preserve"> (US$2017)</w:t>
            </w:r>
          </w:p>
        </w:tc>
        <w:tc>
          <w:tcPr>
            <w:tcW w:w="522" w:type="pct"/>
            <w:noWrap/>
            <w:hideMark/>
          </w:tcPr>
          <w:p w14:paraId="7B91BBB1"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1225.11</w:t>
            </w:r>
          </w:p>
        </w:tc>
        <w:tc>
          <w:tcPr>
            <w:tcW w:w="584" w:type="pct"/>
            <w:noWrap/>
            <w:hideMark/>
          </w:tcPr>
          <w:p w14:paraId="20DA7821"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17866.00</w:t>
            </w:r>
          </w:p>
        </w:tc>
        <w:tc>
          <w:tcPr>
            <w:tcW w:w="760" w:type="pct"/>
            <w:noWrap/>
            <w:hideMark/>
          </w:tcPr>
          <w:p w14:paraId="783F4328"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4656.12</w:t>
            </w:r>
          </w:p>
        </w:tc>
        <w:tc>
          <w:tcPr>
            <w:tcW w:w="555" w:type="pct"/>
            <w:noWrap/>
            <w:hideMark/>
          </w:tcPr>
          <w:p w14:paraId="2E004613"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2530.73</w:t>
            </w:r>
          </w:p>
        </w:tc>
      </w:tr>
      <w:tr w:rsidR="005701A5" w:rsidRPr="00710BF0" w14:paraId="62C98D35" w14:textId="77777777" w:rsidTr="00922ACF">
        <w:trPr>
          <w:trHeight w:val="300"/>
        </w:trPr>
        <w:tc>
          <w:tcPr>
            <w:tcW w:w="2579" w:type="pct"/>
            <w:noWrap/>
            <w:hideMark/>
          </w:tcPr>
          <w:p w14:paraId="4F30F613" w14:textId="77777777" w:rsidR="005701A5" w:rsidRPr="00710BF0" w:rsidRDefault="005701A5" w:rsidP="00877635">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Inequality (GINI)</w:t>
            </w:r>
          </w:p>
        </w:tc>
        <w:tc>
          <w:tcPr>
            <w:tcW w:w="522" w:type="pct"/>
            <w:noWrap/>
            <w:hideMark/>
          </w:tcPr>
          <w:p w14:paraId="245D21AD"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0.15</w:t>
            </w:r>
          </w:p>
        </w:tc>
        <w:tc>
          <w:tcPr>
            <w:tcW w:w="584" w:type="pct"/>
            <w:noWrap/>
            <w:hideMark/>
          </w:tcPr>
          <w:p w14:paraId="23E1BD78"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0.54</w:t>
            </w:r>
          </w:p>
        </w:tc>
        <w:tc>
          <w:tcPr>
            <w:tcW w:w="760" w:type="pct"/>
            <w:noWrap/>
            <w:hideMark/>
          </w:tcPr>
          <w:p w14:paraId="262E7358"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0.42</w:t>
            </w:r>
          </w:p>
        </w:tc>
        <w:tc>
          <w:tcPr>
            <w:tcW w:w="555" w:type="pct"/>
            <w:noWrap/>
            <w:hideMark/>
          </w:tcPr>
          <w:p w14:paraId="5F0BCD22"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0.05</w:t>
            </w:r>
          </w:p>
        </w:tc>
      </w:tr>
      <w:tr w:rsidR="005701A5" w:rsidRPr="00710BF0" w14:paraId="7BD81627" w14:textId="77777777" w:rsidTr="00922ACF">
        <w:trPr>
          <w:trHeight w:val="300"/>
        </w:trPr>
        <w:tc>
          <w:tcPr>
            <w:tcW w:w="2579" w:type="pct"/>
            <w:noWrap/>
            <w:hideMark/>
          </w:tcPr>
          <w:p w14:paraId="693B0DC2" w14:textId="748F205B" w:rsidR="005701A5" w:rsidRPr="00710BF0" w:rsidRDefault="005701A5" w:rsidP="00877635">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E</w:t>
            </w:r>
            <w:r w:rsidRPr="00710BF0">
              <w:rPr>
                <w:rFonts w:ascii="Calibri" w:eastAsia="Times New Roman" w:hAnsi="Calibri" w:cs="Calibri"/>
                <w:color w:val="000000"/>
                <w:lang w:eastAsia="en-GB"/>
              </w:rPr>
              <w:t>ducation</w:t>
            </w:r>
            <w:r>
              <w:rPr>
                <w:rFonts w:ascii="Calibri" w:eastAsia="Times New Roman" w:hAnsi="Calibri" w:cs="Calibri"/>
                <w:color w:val="000000"/>
                <w:lang w:eastAsia="en-GB"/>
              </w:rPr>
              <w:t xml:space="preserve"> (</w:t>
            </w:r>
            <w:r w:rsidR="001275BB">
              <w:rPr>
                <w:rFonts w:ascii="Calibri" w:eastAsia="Times New Roman" w:hAnsi="Calibri" w:cs="Calibri"/>
                <w:color w:val="000000"/>
                <w:lang w:eastAsia="en-GB"/>
              </w:rPr>
              <w:t>number of y</w:t>
            </w:r>
            <w:r>
              <w:rPr>
                <w:rFonts w:ascii="Calibri" w:eastAsia="Times New Roman" w:hAnsi="Calibri" w:cs="Calibri"/>
                <w:color w:val="000000"/>
                <w:lang w:eastAsia="en-GB"/>
              </w:rPr>
              <w:t>ears)</w:t>
            </w:r>
          </w:p>
        </w:tc>
        <w:tc>
          <w:tcPr>
            <w:tcW w:w="522" w:type="pct"/>
            <w:noWrap/>
            <w:hideMark/>
          </w:tcPr>
          <w:p w14:paraId="198BADB6"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2.04</w:t>
            </w:r>
          </w:p>
        </w:tc>
        <w:tc>
          <w:tcPr>
            <w:tcW w:w="584" w:type="pct"/>
            <w:noWrap/>
            <w:hideMark/>
          </w:tcPr>
          <w:p w14:paraId="1E93D79E"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10.70</w:t>
            </w:r>
          </w:p>
        </w:tc>
        <w:tc>
          <w:tcPr>
            <w:tcW w:w="760" w:type="pct"/>
            <w:noWrap/>
            <w:hideMark/>
          </w:tcPr>
          <w:p w14:paraId="28C37A3A"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6.29</w:t>
            </w:r>
          </w:p>
        </w:tc>
        <w:tc>
          <w:tcPr>
            <w:tcW w:w="555" w:type="pct"/>
            <w:noWrap/>
            <w:hideMark/>
          </w:tcPr>
          <w:p w14:paraId="6E34D4E4"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2.46</w:t>
            </w:r>
          </w:p>
        </w:tc>
      </w:tr>
      <w:tr w:rsidR="005701A5" w:rsidRPr="00710BF0" w14:paraId="6FDE1640" w14:textId="77777777" w:rsidTr="00922ACF">
        <w:trPr>
          <w:trHeight w:val="300"/>
        </w:trPr>
        <w:tc>
          <w:tcPr>
            <w:tcW w:w="2579" w:type="pct"/>
            <w:noWrap/>
            <w:hideMark/>
          </w:tcPr>
          <w:p w14:paraId="5E9CAB8B" w14:textId="0BFD77BF" w:rsidR="005701A5" w:rsidRPr="00710BF0" w:rsidRDefault="005701A5" w:rsidP="00877635">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F</w:t>
            </w:r>
            <w:r w:rsidR="00153B97">
              <w:rPr>
                <w:rFonts w:ascii="Calibri" w:eastAsia="Times New Roman" w:hAnsi="Calibri" w:cs="Calibri"/>
                <w:color w:val="000000"/>
                <w:lang w:eastAsia="en-GB"/>
              </w:rPr>
              <w:t>luvial f</w:t>
            </w:r>
            <w:r>
              <w:rPr>
                <w:rFonts w:ascii="Calibri" w:eastAsia="Times New Roman" w:hAnsi="Calibri" w:cs="Calibri"/>
                <w:color w:val="000000"/>
                <w:lang w:eastAsia="en-GB"/>
              </w:rPr>
              <w:t>lood volume (M3)</w:t>
            </w:r>
          </w:p>
        </w:tc>
        <w:tc>
          <w:tcPr>
            <w:tcW w:w="522" w:type="pct"/>
            <w:noWrap/>
            <w:hideMark/>
          </w:tcPr>
          <w:p w14:paraId="3B6DD0DB"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0.00</w:t>
            </w:r>
          </w:p>
        </w:tc>
        <w:tc>
          <w:tcPr>
            <w:tcW w:w="584" w:type="pct"/>
            <w:noWrap/>
            <w:hideMark/>
          </w:tcPr>
          <w:p w14:paraId="7EF247D5"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3</w:t>
            </w:r>
            <w:r>
              <w:rPr>
                <w:rFonts w:ascii="Calibri" w:eastAsia="Times New Roman" w:hAnsi="Calibri" w:cs="Calibri"/>
                <w:color w:val="000000"/>
                <w:lang w:eastAsia="en-GB"/>
              </w:rPr>
              <w:t>.</w:t>
            </w:r>
            <w:r w:rsidRPr="00710BF0">
              <w:rPr>
                <w:rFonts w:ascii="Calibri" w:eastAsia="Times New Roman" w:hAnsi="Calibri" w:cs="Calibri"/>
                <w:color w:val="000000"/>
                <w:lang w:eastAsia="en-GB"/>
              </w:rPr>
              <w:t>7</w:t>
            </w:r>
            <w:r>
              <w:rPr>
                <w:rFonts w:ascii="Calibri" w:eastAsia="Times New Roman" w:hAnsi="Calibri" w:cs="Calibri"/>
                <w:color w:val="000000"/>
                <w:lang w:eastAsia="en-GB"/>
              </w:rPr>
              <w:t xml:space="preserve"> x 10</w:t>
            </w:r>
            <w:r w:rsidRPr="00E91496">
              <w:rPr>
                <w:rFonts w:ascii="Calibri" w:eastAsia="Times New Roman" w:hAnsi="Calibri" w:cs="Calibri"/>
                <w:color w:val="000000"/>
                <w:vertAlign w:val="superscript"/>
                <w:lang w:eastAsia="en-GB"/>
              </w:rPr>
              <w:t>8</w:t>
            </w:r>
          </w:p>
        </w:tc>
        <w:tc>
          <w:tcPr>
            <w:tcW w:w="760" w:type="pct"/>
            <w:noWrap/>
            <w:hideMark/>
          </w:tcPr>
          <w:p w14:paraId="2FBAB442" w14:textId="77777777" w:rsidR="005701A5" w:rsidRPr="00E91496" w:rsidRDefault="005701A5" w:rsidP="00877635">
            <w:pPr>
              <w:spacing w:line="276" w:lineRule="auto"/>
              <w:jc w:val="right"/>
              <w:rPr>
                <w:rFonts w:ascii="Calibri" w:eastAsia="Times New Roman" w:hAnsi="Calibri" w:cs="Calibri"/>
                <w:color w:val="000000"/>
                <w:vertAlign w:val="superscript"/>
                <w:lang w:eastAsia="en-GB"/>
              </w:rPr>
            </w:pPr>
            <w:r>
              <w:rPr>
                <w:rFonts w:ascii="Calibri" w:eastAsia="Times New Roman" w:hAnsi="Calibri" w:cs="Calibri"/>
                <w:color w:val="000000"/>
                <w:lang w:eastAsia="en-GB"/>
              </w:rPr>
              <w:t>7.1x10</w:t>
            </w:r>
            <w:r>
              <w:rPr>
                <w:rFonts w:ascii="Calibri" w:eastAsia="Times New Roman" w:hAnsi="Calibri" w:cs="Calibri"/>
                <w:color w:val="000000"/>
                <w:vertAlign w:val="superscript"/>
                <w:lang w:eastAsia="en-GB"/>
              </w:rPr>
              <w:t>6</w:t>
            </w:r>
          </w:p>
        </w:tc>
        <w:tc>
          <w:tcPr>
            <w:tcW w:w="555" w:type="pct"/>
            <w:noWrap/>
            <w:hideMark/>
          </w:tcPr>
          <w:p w14:paraId="28A227D0" w14:textId="77777777" w:rsidR="005701A5" w:rsidRPr="00E91496" w:rsidRDefault="005701A5" w:rsidP="00877635">
            <w:pPr>
              <w:spacing w:line="276" w:lineRule="auto"/>
              <w:jc w:val="right"/>
              <w:rPr>
                <w:rFonts w:ascii="Calibri" w:eastAsia="Times New Roman" w:hAnsi="Calibri" w:cs="Calibri"/>
                <w:color w:val="000000"/>
                <w:vertAlign w:val="superscript"/>
                <w:lang w:eastAsia="en-GB"/>
              </w:rPr>
            </w:pPr>
            <w:r>
              <w:rPr>
                <w:rFonts w:ascii="Calibri" w:eastAsia="Times New Roman" w:hAnsi="Calibri" w:cs="Calibri"/>
                <w:color w:val="000000"/>
                <w:lang w:eastAsia="en-GB"/>
              </w:rPr>
              <w:t>2.1x10</w:t>
            </w:r>
            <w:r>
              <w:rPr>
                <w:rFonts w:ascii="Calibri" w:eastAsia="Times New Roman" w:hAnsi="Calibri" w:cs="Calibri"/>
                <w:color w:val="000000"/>
                <w:vertAlign w:val="superscript"/>
                <w:lang w:eastAsia="en-GB"/>
              </w:rPr>
              <w:t>7</w:t>
            </w:r>
          </w:p>
        </w:tc>
      </w:tr>
      <w:tr w:rsidR="005701A5" w:rsidRPr="00710BF0" w14:paraId="14B353C5" w14:textId="77777777" w:rsidTr="00922ACF">
        <w:trPr>
          <w:trHeight w:val="300"/>
        </w:trPr>
        <w:tc>
          <w:tcPr>
            <w:tcW w:w="2579" w:type="pct"/>
            <w:noWrap/>
            <w:hideMark/>
          </w:tcPr>
          <w:p w14:paraId="36087E3A" w14:textId="77777777" w:rsidR="005701A5" w:rsidRPr="00E91496" w:rsidRDefault="005701A5" w:rsidP="00877635">
            <w:pPr>
              <w:spacing w:line="276" w:lineRule="auto"/>
              <w:rPr>
                <w:rFonts w:ascii="Calibri" w:eastAsia="Times New Roman" w:hAnsi="Calibri" w:cs="Calibri"/>
                <w:color w:val="000000"/>
                <w:lang w:val="en-GB" w:eastAsia="en-GB"/>
              </w:rPr>
            </w:pPr>
            <w:r w:rsidRPr="00E91496">
              <w:rPr>
                <w:rFonts w:ascii="Calibri" w:eastAsia="Times New Roman" w:hAnsi="Calibri" w:cs="Calibri"/>
                <w:color w:val="000000"/>
                <w:lang w:val="en-GB" w:eastAsia="en-GB"/>
              </w:rPr>
              <w:t>Built-up land (km</w:t>
            </w:r>
            <w:r w:rsidRPr="00E91496">
              <w:rPr>
                <w:rFonts w:ascii="Calibri" w:eastAsia="Times New Roman" w:hAnsi="Calibri" w:cs="Calibri"/>
                <w:color w:val="000000"/>
                <w:vertAlign w:val="superscript"/>
                <w:lang w:val="en-GB" w:eastAsia="en-GB"/>
              </w:rPr>
              <w:t>2</w:t>
            </w:r>
            <w:r w:rsidRPr="00E91496">
              <w:rPr>
                <w:rFonts w:ascii="Calibri" w:eastAsia="Times New Roman" w:hAnsi="Calibri" w:cs="Calibri"/>
                <w:color w:val="000000"/>
                <w:lang w:val="en-GB" w:eastAsia="en-GB"/>
              </w:rPr>
              <w:t>/c</w:t>
            </w:r>
            <w:r>
              <w:rPr>
                <w:rFonts w:ascii="Calibri" w:eastAsia="Times New Roman" w:hAnsi="Calibri" w:cs="Calibri"/>
                <w:color w:val="000000"/>
                <w:lang w:val="en-GB" w:eastAsia="en-GB"/>
              </w:rPr>
              <w:t>ell)</w:t>
            </w:r>
          </w:p>
        </w:tc>
        <w:tc>
          <w:tcPr>
            <w:tcW w:w="522" w:type="pct"/>
            <w:noWrap/>
            <w:hideMark/>
          </w:tcPr>
          <w:p w14:paraId="7EDF3CFA"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0.00</w:t>
            </w:r>
          </w:p>
        </w:tc>
        <w:tc>
          <w:tcPr>
            <w:tcW w:w="584" w:type="pct"/>
            <w:noWrap/>
            <w:hideMark/>
          </w:tcPr>
          <w:p w14:paraId="55332EB7"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39.59</w:t>
            </w:r>
          </w:p>
        </w:tc>
        <w:tc>
          <w:tcPr>
            <w:tcW w:w="760" w:type="pct"/>
            <w:noWrap/>
            <w:hideMark/>
          </w:tcPr>
          <w:p w14:paraId="279411E7"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1.26</w:t>
            </w:r>
          </w:p>
        </w:tc>
        <w:tc>
          <w:tcPr>
            <w:tcW w:w="555" w:type="pct"/>
            <w:noWrap/>
            <w:hideMark/>
          </w:tcPr>
          <w:p w14:paraId="767F8236"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2.89</w:t>
            </w:r>
          </w:p>
        </w:tc>
      </w:tr>
      <w:tr w:rsidR="005701A5" w:rsidRPr="00710BF0" w14:paraId="066C6CAE" w14:textId="77777777" w:rsidTr="00922ACF">
        <w:trPr>
          <w:trHeight w:val="300"/>
        </w:trPr>
        <w:tc>
          <w:tcPr>
            <w:tcW w:w="2579" w:type="pct"/>
            <w:noWrap/>
            <w:hideMark/>
          </w:tcPr>
          <w:p w14:paraId="3EA173AC" w14:textId="77777777" w:rsidR="005701A5" w:rsidRPr="00710BF0" w:rsidRDefault="005701A5" w:rsidP="00877635">
            <w:pPr>
              <w:spacing w:line="276" w:lineRule="auto"/>
              <w:rPr>
                <w:rFonts w:ascii="Calibri" w:eastAsia="Times New Roman" w:hAnsi="Calibri" w:cs="Calibri"/>
                <w:color w:val="000000"/>
                <w:lang w:eastAsia="en-GB"/>
              </w:rPr>
            </w:pPr>
            <w:r w:rsidRPr="00710BF0">
              <w:rPr>
                <w:rFonts w:ascii="Calibri" w:eastAsia="Times New Roman" w:hAnsi="Calibri" w:cs="Calibri"/>
                <w:color w:val="000000"/>
                <w:lang w:eastAsia="en-GB"/>
              </w:rPr>
              <w:t>Conflict</w:t>
            </w:r>
            <w:r>
              <w:rPr>
                <w:rFonts w:ascii="Calibri" w:eastAsia="Times New Roman" w:hAnsi="Calibri" w:cs="Calibri"/>
                <w:color w:val="000000"/>
                <w:lang w:eastAsia="en-GB"/>
              </w:rPr>
              <w:t xml:space="preserve"> (events)</w:t>
            </w:r>
          </w:p>
        </w:tc>
        <w:tc>
          <w:tcPr>
            <w:tcW w:w="522" w:type="pct"/>
            <w:noWrap/>
            <w:hideMark/>
          </w:tcPr>
          <w:p w14:paraId="52DF75C9"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0.00</w:t>
            </w:r>
          </w:p>
        </w:tc>
        <w:tc>
          <w:tcPr>
            <w:tcW w:w="584" w:type="pct"/>
            <w:noWrap/>
            <w:hideMark/>
          </w:tcPr>
          <w:p w14:paraId="61B673DD"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145.00</w:t>
            </w:r>
          </w:p>
        </w:tc>
        <w:tc>
          <w:tcPr>
            <w:tcW w:w="760" w:type="pct"/>
            <w:noWrap/>
            <w:hideMark/>
          </w:tcPr>
          <w:p w14:paraId="2F87C8F1"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0.11</w:t>
            </w:r>
          </w:p>
        </w:tc>
        <w:tc>
          <w:tcPr>
            <w:tcW w:w="555" w:type="pct"/>
            <w:noWrap/>
            <w:hideMark/>
          </w:tcPr>
          <w:p w14:paraId="07348F5C"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2.24</w:t>
            </w:r>
          </w:p>
        </w:tc>
      </w:tr>
      <w:tr w:rsidR="005701A5" w:rsidRPr="00710BF0" w14:paraId="25568F11" w14:textId="77777777" w:rsidTr="00922ACF">
        <w:trPr>
          <w:trHeight w:val="300"/>
        </w:trPr>
        <w:tc>
          <w:tcPr>
            <w:tcW w:w="2579" w:type="pct"/>
            <w:noWrap/>
            <w:hideMark/>
          </w:tcPr>
          <w:p w14:paraId="089201CB" w14:textId="77777777" w:rsidR="005701A5" w:rsidRPr="00E91496" w:rsidRDefault="005701A5" w:rsidP="00877635">
            <w:pPr>
              <w:spacing w:line="276"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Dry spell</w:t>
            </w:r>
            <w:r w:rsidRPr="00E91496">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maximum </w:t>
            </w:r>
            <w:r w:rsidRPr="00E91496">
              <w:rPr>
                <w:rFonts w:ascii="Calibri" w:eastAsia="Times New Roman" w:hAnsi="Calibri" w:cs="Calibri"/>
                <w:color w:val="000000"/>
                <w:lang w:val="en-GB" w:eastAsia="en-GB"/>
              </w:rPr>
              <w:t xml:space="preserve">number of </w:t>
            </w:r>
            <w:r>
              <w:rPr>
                <w:rFonts w:ascii="Calibri" w:eastAsia="Times New Roman" w:hAnsi="Calibri" w:cs="Calibri"/>
                <w:color w:val="000000"/>
                <w:lang w:val="en-GB" w:eastAsia="en-GB"/>
              </w:rPr>
              <w:t xml:space="preserve">dry </w:t>
            </w:r>
            <w:r w:rsidRPr="00E91496">
              <w:rPr>
                <w:rFonts w:ascii="Calibri" w:eastAsia="Times New Roman" w:hAnsi="Calibri" w:cs="Calibri"/>
                <w:color w:val="000000"/>
                <w:lang w:val="en-GB" w:eastAsia="en-GB"/>
              </w:rPr>
              <w:t>days</w:t>
            </w:r>
            <w:r>
              <w:rPr>
                <w:rFonts w:ascii="Calibri" w:eastAsia="Times New Roman" w:hAnsi="Calibri" w:cs="Calibri"/>
                <w:color w:val="000000"/>
                <w:lang w:val="en-GB" w:eastAsia="en-GB"/>
              </w:rPr>
              <w:t xml:space="preserve"> per year</w:t>
            </w:r>
            <w:r w:rsidRPr="00E91496">
              <w:rPr>
                <w:rFonts w:ascii="Calibri" w:eastAsia="Times New Roman" w:hAnsi="Calibri" w:cs="Calibri"/>
                <w:color w:val="000000"/>
                <w:lang w:val="en-GB" w:eastAsia="en-GB"/>
              </w:rPr>
              <w:t>)</w:t>
            </w:r>
          </w:p>
        </w:tc>
        <w:tc>
          <w:tcPr>
            <w:tcW w:w="522" w:type="pct"/>
            <w:noWrap/>
            <w:hideMark/>
          </w:tcPr>
          <w:p w14:paraId="645B6D29"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2.00</w:t>
            </w:r>
          </w:p>
        </w:tc>
        <w:tc>
          <w:tcPr>
            <w:tcW w:w="584" w:type="pct"/>
            <w:noWrap/>
            <w:hideMark/>
          </w:tcPr>
          <w:p w14:paraId="2277A260"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293.33</w:t>
            </w:r>
          </w:p>
        </w:tc>
        <w:tc>
          <w:tcPr>
            <w:tcW w:w="760" w:type="pct"/>
            <w:noWrap/>
            <w:hideMark/>
          </w:tcPr>
          <w:p w14:paraId="629D069A"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62.78</w:t>
            </w:r>
          </w:p>
        </w:tc>
        <w:tc>
          <w:tcPr>
            <w:tcW w:w="555" w:type="pct"/>
            <w:noWrap/>
            <w:hideMark/>
          </w:tcPr>
          <w:p w14:paraId="3D1337F5"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45.70</w:t>
            </w:r>
          </w:p>
        </w:tc>
      </w:tr>
      <w:tr w:rsidR="005701A5" w:rsidRPr="00710BF0" w14:paraId="169A76FC" w14:textId="77777777" w:rsidTr="00922ACF">
        <w:trPr>
          <w:trHeight w:val="300"/>
        </w:trPr>
        <w:tc>
          <w:tcPr>
            <w:tcW w:w="2579" w:type="pct"/>
            <w:noWrap/>
            <w:hideMark/>
          </w:tcPr>
          <w:p w14:paraId="04BB4995" w14:textId="77777777" w:rsidR="005701A5" w:rsidRPr="00710BF0" w:rsidRDefault="005701A5" w:rsidP="00877635">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Precipitation (millimetre)</w:t>
            </w:r>
          </w:p>
        </w:tc>
        <w:tc>
          <w:tcPr>
            <w:tcW w:w="522" w:type="pct"/>
            <w:noWrap/>
            <w:hideMark/>
          </w:tcPr>
          <w:p w14:paraId="20029AC5"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12.53</w:t>
            </w:r>
          </w:p>
        </w:tc>
        <w:tc>
          <w:tcPr>
            <w:tcW w:w="584" w:type="pct"/>
            <w:noWrap/>
            <w:hideMark/>
          </w:tcPr>
          <w:p w14:paraId="1EF82F8A"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5527.80</w:t>
            </w:r>
          </w:p>
        </w:tc>
        <w:tc>
          <w:tcPr>
            <w:tcW w:w="760" w:type="pct"/>
            <w:noWrap/>
            <w:hideMark/>
          </w:tcPr>
          <w:p w14:paraId="32448EE9"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1428.35</w:t>
            </w:r>
          </w:p>
        </w:tc>
        <w:tc>
          <w:tcPr>
            <w:tcW w:w="555" w:type="pct"/>
            <w:noWrap/>
            <w:hideMark/>
          </w:tcPr>
          <w:p w14:paraId="0B2B48F4"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727.79</w:t>
            </w:r>
          </w:p>
        </w:tc>
      </w:tr>
      <w:tr w:rsidR="005701A5" w:rsidRPr="00710BF0" w14:paraId="2316CD93" w14:textId="77777777" w:rsidTr="00922ACF">
        <w:trPr>
          <w:trHeight w:val="300"/>
        </w:trPr>
        <w:tc>
          <w:tcPr>
            <w:tcW w:w="2579" w:type="pct"/>
            <w:noWrap/>
            <w:hideMark/>
          </w:tcPr>
          <w:p w14:paraId="3ED359D2" w14:textId="77777777" w:rsidR="005701A5" w:rsidRPr="00710BF0" w:rsidRDefault="005701A5" w:rsidP="00877635">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Yields (ton/km2)</w:t>
            </w:r>
          </w:p>
        </w:tc>
        <w:tc>
          <w:tcPr>
            <w:tcW w:w="522" w:type="pct"/>
            <w:noWrap/>
            <w:hideMark/>
          </w:tcPr>
          <w:p w14:paraId="4D299093"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0.00</w:t>
            </w:r>
          </w:p>
        </w:tc>
        <w:tc>
          <w:tcPr>
            <w:tcW w:w="584" w:type="pct"/>
            <w:noWrap/>
            <w:hideMark/>
          </w:tcPr>
          <w:p w14:paraId="4E9C3596"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1252.01</w:t>
            </w:r>
          </w:p>
        </w:tc>
        <w:tc>
          <w:tcPr>
            <w:tcW w:w="760" w:type="pct"/>
            <w:noWrap/>
            <w:hideMark/>
          </w:tcPr>
          <w:p w14:paraId="59C0A1B1"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289.57</w:t>
            </w:r>
          </w:p>
        </w:tc>
        <w:tc>
          <w:tcPr>
            <w:tcW w:w="555" w:type="pct"/>
            <w:noWrap/>
            <w:hideMark/>
          </w:tcPr>
          <w:p w14:paraId="4E07FA36"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180.71</w:t>
            </w:r>
          </w:p>
        </w:tc>
      </w:tr>
      <w:tr w:rsidR="005701A5" w:rsidRPr="00710BF0" w14:paraId="35DBED6A" w14:textId="77777777" w:rsidTr="00922ACF">
        <w:trPr>
          <w:trHeight w:val="300"/>
        </w:trPr>
        <w:tc>
          <w:tcPr>
            <w:tcW w:w="2579" w:type="pct"/>
            <w:noWrap/>
            <w:hideMark/>
          </w:tcPr>
          <w:p w14:paraId="3CD93FB8" w14:textId="77777777" w:rsidR="005701A5" w:rsidRPr="00710BF0" w:rsidRDefault="005701A5" w:rsidP="00877635">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Temperature (Degree C°)</w:t>
            </w:r>
          </w:p>
        </w:tc>
        <w:tc>
          <w:tcPr>
            <w:tcW w:w="522" w:type="pct"/>
            <w:noWrap/>
            <w:hideMark/>
          </w:tcPr>
          <w:p w14:paraId="756E3BF9"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-1.82</w:t>
            </w:r>
          </w:p>
        </w:tc>
        <w:tc>
          <w:tcPr>
            <w:tcW w:w="584" w:type="pct"/>
            <w:noWrap/>
            <w:hideMark/>
          </w:tcPr>
          <w:p w14:paraId="20FFC043"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29.29</w:t>
            </w:r>
          </w:p>
        </w:tc>
        <w:tc>
          <w:tcPr>
            <w:tcW w:w="760" w:type="pct"/>
            <w:noWrap/>
            <w:hideMark/>
          </w:tcPr>
          <w:p w14:paraId="0E7F871C"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24.66</w:t>
            </w:r>
          </w:p>
        </w:tc>
        <w:tc>
          <w:tcPr>
            <w:tcW w:w="555" w:type="pct"/>
            <w:noWrap/>
            <w:hideMark/>
          </w:tcPr>
          <w:p w14:paraId="4D6EFC90" w14:textId="77777777" w:rsidR="005701A5" w:rsidRPr="00710BF0" w:rsidRDefault="005701A5" w:rsidP="00877635">
            <w:pPr>
              <w:spacing w:line="276" w:lineRule="auto"/>
              <w:jc w:val="right"/>
              <w:rPr>
                <w:rFonts w:ascii="Calibri" w:eastAsia="Times New Roman" w:hAnsi="Calibri" w:cs="Calibri"/>
                <w:color w:val="000000"/>
                <w:lang w:eastAsia="en-GB"/>
              </w:rPr>
            </w:pPr>
            <w:r w:rsidRPr="00710BF0">
              <w:rPr>
                <w:rFonts w:ascii="Calibri" w:eastAsia="Times New Roman" w:hAnsi="Calibri" w:cs="Calibri"/>
                <w:color w:val="000000"/>
                <w:lang w:eastAsia="en-GB"/>
              </w:rPr>
              <w:t>4.41</w:t>
            </w:r>
          </w:p>
        </w:tc>
      </w:tr>
    </w:tbl>
    <w:p w14:paraId="1EB7FC77" w14:textId="77777777" w:rsidR="00337E0F" w:rsidRDefault="00337E0F" w:rsidP="005701A5"/>
    <w:p w14:paraId="7976A14E" w14:textId="77777777" w:rsidR="00337E0F" w:rsidRDefault="00337E0F">
      <w:r>
        <w:br w:type="page"/>
      </w:r>
    </w:p>
    <w:p w14:paraId="5B46BA92" w14:textId="135D32E8" w:rsidR="005701A5" w:rsidRPr="00A13782" w:rsidRDefault="005701A5" w:rsidP="005701A5">
      <w:r w:rsidRPr="00A13782">
        <w:lastRenderedPageBreak/>
        <w:t xml:space="preserve">Table </w:t>
      </w:r>
      <w:r w:rsidR="005E3218">
        <w:t>S3</w:t>
      </w:r>
      <w:r w:rsidRPr="005701A5">
        <w:t xml:space="preserve"> </w:t>
      </w:r>
      <w:r w:rsidRPr="00A13782">
        <w:t>Scenario details per variable. Spatial resolution is the same as the reference data.</w:t>
      </w:r>
    </w:p>
    <w:tbl>
      <w:tblPr>
        <w:tblStyle w:val="TableGrid"/>
        <w:tblW w:w="5000" w:type="pct"/>
        <w:tblLook w:val="04A0" w:firstRow="1" w:lastRow="0" w:firstColumn="1" w:lastColumn="0" w:noHBand="0" w:noVBand="1"/>
      </w:tblPr>
      <w:tblGrid>
        <w:gridCol w:w="2494"/>
        <w:gridCol w:w="6522"/>
      </w:tblGrid>
      <w:tr w:rsidR="00A13782" w14:paraId="202A86AE" w14:textId="77777777" w:rsidTr="00337E0F">
        <w:trPr>
          <w:trHeight w:val="274"/>
        </w:trPr>
        <w:tc>
          <w:tcPr>
            <w:tcW w:w="1383" w:type="pct"/>
          </w:tcPr>
          <w:p w14:paraId="4ADCB063" w14:textId="7394AFCA" w:rsidR="00A13782" w:rsidRPr="002E60AE" w:rsidRDefault="00A13782" w:rsidP="00877635">
            <w:pPr>
              <w:spacing w:line="276" w:lineRule="auto"/>
              <w:rPr>
                <w:b/>
                <w:bCs/>
                <w:lang w:val="en-GB"/>
              </w:rPr>
            </w:pPr>
            <w:r>
              <w:rPr>
                <w:b/>
                <w:bCs/>
                <w:lang w:val="en-GB"/>
              </w:rPr>
              <w:t>Variable</w:t>
            </w:r>
          </w:p>
        </w:tc>
        <w:tc>
          <w:tcPr>
            <w:tcW w:w="3617" w:type="pct"/>
          </w:tcPr>
          <w:p w14:paraId="0F679DB6" w14:textId="77777777" w:rsidR="00A13782" w:rsidRPr="0072160F" w:rsidRDefault="00A13782" w:rsidP="00877635">
            <w:pPr>
              <w:spacing w:line="276" w:lineRule="auto"/>
              <w:rPr>
                <w:b/>
                <w:bCs/>
              </w:rPr>
            </w:pPr>
            <w:r>
              <w:rPr>
                <w:b/>
                <w:bCs/>
              </w:rPr>
              <w:t>Scenario details</w:t>
            </w:r>
          </w:p>
        </w:tc>
      </w:tr>
      <w:tr w:rsidR="00A13782" w:rsidRPr="00294B94" w14:paraId="1689FF0A" w14:textId="77777777" w:rsidTr="00A13782">
        <w:trPr>
          <w:trHeight w:val="678"/>
        </w:trPr>
        <w:tc>
          <w:tcPr>
            <w:tcW w:w="1383" w:type="pct"/>
          </w:tcPr>
          <w:p w14:paraId="1A7D84F3" w14:textId="77777777" w:rsidR="00A13782" w:rsidRDefault="00A13782" w:rsidP="00877635">
            <w:pPr>
              <w:spacing w:line="276" w:lineRule="auto"/>
            </w:pPr>
            <w:r>
              <w:rPr>
                <w:lang w:val="en-GB"/>
              </w:rPr>
              <w:t>B</w:t>
            </w:r>
            <w:r w:rsidRPr="00F13EBE">
              <w:rPr>
                <w:lang w:val="en-GB"/>
              </w:rPr>
              <w:t>uil</w:t>
            </w:r>
            <w:r>
              <w:rPr>
                <w:lang w:val="en-GB"/>
              </w:rPr>
              <w:t>t</w:t>
            </w:r>
            <w:r w:rsidRPr="00F13EBE">
              <w:rPr>
                <w:lang w:val="en-GB"/>
              </w:rPr>
              <w:t>-up a</w:t>
            </w:r>
            <w:r>
              <w:rPr>
                <w:lang w:val="en-GB"/>
              </w:rPr>
              <w:t>rea</w:t>
            </w:r>
          </w:p>
        </w:tc>
        <w:tc>
          <w:tcPr>
            <w:tcW w:w="3617" w:type="pct"/>
          </w:tcPr>
          <w:p w14:paraId="5C62198B" w14:textId="245FEB9D" w:rsidR="00A13782" w:rsidRPr="00294B94" w:rsidRDefault="00A13782" w:rsidP="00877635">
            <w:pPr>
              <w:spacing w:line="276" w:lineRule="auto"/>
              <w:rPr>
                <w:lang w:val="en-GB"/>
              </w:rPr>
            </w:pPr>
            <w:r>
              <w:rPr>
                <w:lang w:val="en-GB"/>
              </w:rPr>
              <w:t xml:space="preserve">SSP1, SSP2, SSP3 scenario projections per cell developed by </w:t>
            </w:r>
            <w:r w:rsidR="00337E0F" w:rsidRPr="00337E0F">
              <w:rPr>
                <w:lang w:val="en-GB"/>
              </w:rPr>
              <w:t>Wolff et al. (2018)</w:t>
            </w:r>
            <w:r w:rsidR="00337E0F">
              <w:rPr>
                <w:lang w:val="en-GB"/>
              </w:rPr>
              <w:t>.</w:t>
            </w:r>
          </w:p>
        </w:tc>
      </w:tr>
      <w:tr w:rsidR="00A13782" w:rsidRPr="00444A98" w14:paraId="6586A428" w14:textId="77777777" w:rsidTr="00A13782">
        <w:tc>
          <w:tcPr>
            <w:tcW w:w="1383" w:type="pct"/>
          </w:tcPr>
          <w:p w14:paraId="4709F175" w14:textId="77777777" w:rsidR="00A13782" w:rsidRDefault="00A13782" w:rsidP="00877635">
            <w:pPr>
              <w:spacing w:line="276" w:lineRule="auto"/>
            </w:pPr>
            <w:r w:rsidRPr="006869D5">
              <w:t xml:space="preserve">Conflict </w:t>
            </w:r>
            <w:r>
              <w:t>prevelance</w:t>
            </w:r>
          </w:p>
        </w:tc>
        <w:tc>
          <w:tcPr>
            <w:tcW w:w="3617" w:type="pct"/>
          </w:tcPr>
          <w:p w14:paraId="6380F2A3" w14:textId="77777777" w:rsidR="00A13782" w:rsidRPr="00444A98" w:rsidRDefault="00A13782" w:rsidP="00877635">
            <w:pPr>
              <w:spacing w:line="276" w:lineRule="auto"/>
              <w:rPr>
                <w:lang w:val="en-GB"/>
              </w:rPr>
            </w:pPr>
            <w:r>
              <w:rPr>
                <w:lang w:val="en-GB"/>
              </w:rPr>
              <w:t xml:space="preserve">Since no conflict projections are available, no conflict events were included in projections. </w:t>
            </w:r>
          </w:p>
        </w:tc>
      </w:tr>
      <w:tr w:rsidR="00A13782" w:rsidRPr="007775C8" w14:paraId="462DCE82" w14:textId="77777777" w:rsidTr="00A13782">
        <w:tc>
          <w:tcPr>
            <w:tcW w:w="1383" w:type="pct"/>
          </w:tcPr>
          <w:p w14:paraId="7954713D" w14:textId="77777777" w:rsidR="00A13782" w:rsidRPr="00D90BC3" w:rsidRDefault="00A13782" w:rsidP="00877635">
            <w:pPr>
              <w:spacing w:line="276" w:lineRule="auto"/>
              <w:rPr>
                <w:lang w:val="en-GB"/>
              </w:rPr>
            </w:pPr>
            <w:r w:rsidRPr="00D90BC3">
              <w:rPr>
                <w:lang w:val="en-GB"/>
              </w:rPr>
              <w:t xml:space="preserve">Education </w:t>
            </w:r>
          </w:p>
        </w:tc>
        <w:tc>
          <w:tcPr>
            <w:tcW w:w="3617" w:type="pct"/>
          </w:tcPr>
          <w:p w14:paraId="378921C7" w14:textId="000312DB" w:rsidR="00A13782" w:rsidRPr="007775C8" w:rsidRDefault="00A13782" w:rsidP="00877635">
            <w:pPr>
              <w:spacing w:line="276" w:lineRule="auto"/>
              <w:rPr>
                <w:lang w:val="en-GB"/>
              </w:rPr>
            </w:pPr>
            <w:r>
              <w:rPr>
                <w:lang w:val="en-GB"/>
              </w:rPr>
              <w:t xml:space="preserve">The SSP1, SSP2, and SSP3 education scenarios follow the SSP country trends as presented in </w:t>
            </w:r>
            <w:r>
              <w:fldChar w:fldCharType="begin"/>
            </w:r>
            <w:r>
              <w:rPr>
                <w:lang w:val="en-GB"/>
              </w:rPr>
              <w:instrText xml:space="preserve"> ADDIN EN.CITE &lt;EndNote&gt;&lt;Cite AuthorYear="1"&gt;&lt;Author&gt;Lutz&lt;/Author&gt;&lt;Year&gt;2018&lt;/Year&gt;&lt;RecNum&gt;549&lt;/RecNum&gt;&lt;DisplayText&gt;Lutz et al. (2018)&lt;/DisplayText&gt;&lt;record&gt;&lt;rec-number&gt;549&lt;/rec-number&gt;&lt;foreign-keys&gt;&lt;key app="EN" db-id="ppetvv0fwxp2x4ee2pcpfxpb0w0eexxrtf90" timestamp="1602075120"&gt;549&lt;/key&gt;&lt;/foreign-keys&gt;&lt;ref-type name="Book"&gt;6&lt;/ref-type&gt;&lt;contributors&gt;&lt;authors&gt;&lt;author&gt;Lutz, Wolfgang&lt;/author&gt;&lt;author&gt;Goujon, Anne&lt;/author&gt;&lt;author&gt;Kc, Samir&lt;/author&gt;&lt;author&gt;Stonawski, Marcin&lt;/author&gt;&lt;author&gt;Stilianakis, Nikolaos&lt;/author&gt;&lt;/authors&gt;&lt;/contributors&gt;&lt;titles&gt;&lt;title&gt;Demographic and human capital scenarios for the 21st century: 2018 assessment for 201 countries&lt;/title&gt;&lt;/titles&gt;&lt;dates&gt;&lt;year&gt;2018&lt;/year&gt;&lt;/dates&gt;&lt;publisher&gt;Publications Office of the European Union&lt;/publisher&gt;&lt;isbn&gt;9279780239&lt;/isbn&gt;&lt;urls&gt;&lt;/urls&gt;&lt;/record&gt;&lt;/Cite&gt;&lt;/EndNote&gt;</w:instrText>
            </w:r>
            <w:r>
              <w:fldChar w:fldCharType="separate"/>
            </w:r>
            <w:r>
              <w:rPr>
                <w:noProof/>
                <w:lang w:val="en-GB"/>
              </w:rPr>
              <w:t>Lutz et al. (2018)</w:t>
            </w:r>
            <w:r>
              <w:fldChar w:fldCharType="end"/>
            </w:r>
            <w:r>
              <w:rPr>
                <w:lang w:val="en-GB"/>
              </w:rPr>
              <w:t xml:space="preserve"> downloaded from </w:t>
            </w:r>
            <w:r>
              <w:fldChar w:fldCharType="begin"/>
            </w:r>
            <w:r>
              <w:rPr>
                <w:lang w:val="en-GB"/>
              </w:rPr>
              <w:instrText xml:space="preserve"> ADDIN EN.CITE &lt;EndNote&gt;&lt;Cite AuthorYear="1"&gt;&lt;Author&gt;Wittgenstein Centre for Demography and Global Human Capital&lt;/Author&gt;&lt;Year&gt;2018&lt;/Year&gt;&lt;RecNum&gt;550&lt;/RecNum&gt;&lt;DisplayText&gt;Wittgenstein Centre for Demography and Global Human Capital (2018)&lt;/DisplayText&gt;&lt;record&gt;&lt;rec-number&gt;550&lt;/rec-number&gt;&lt;foreign-keys&gt;&lt;key app="EN" db-id="ppetvv0fwxp2x4ee2pcpfxpb0w0eexxrtf90" timestamp="1602075263"&gt;550&lt;/key&gt;&lt;/foreign-keys&gt;&lt;ref-type name="Web Page"&gt;12&lt;/ref-type&gt;&lt;contributors&gt;&lt;authors&gt;&lt;author&gt;Wittgenstein Centre for Demography and Global Human Capital,, &lt;/author&gt;&lt;/authors&gt;&lt;/contributors&gt;&lt;titles&gt;&lt;title&gt;Wittgenstein Centre Data Explorer Version 2.0&lt;/title&gt;&lt;/titles&gt;&lt;volume&gt;12 February 2022&lt;/volume&gt;&lt;dates&gt;&lt;year&gt;2018&lt;/year&gt;&lt;/dates&gt;&lt;urls&gt;&lt;related-urls&gt;&lt;url&gt;Available at: http://www.wittgensteincentre.org/dataexplorer&lt;/url&gt;&lt;/related-urls&gt;&lt;/urls&gt;&lt;/record&gt;&lt;/Cite&gt;&lt;/EndNote&gt;</w:instrText>
            </w:r>
            <w:r>
              <w:fldChar w:fldCharType="separate"/>
            </w:r>
            <w:r>
              <w:rPr>
                <w:noProof/>
                <w:lang w:val="en-GB"/>
              </w:rPr>
              <w:t>Wittgenstein Centre for Demography and Global Human Capital (2018)</w:t>
            </w:r>
            <w:r>
              <w:fldChar w:fldCharType="end"/>
            </w:r>
            <w:r w:rsidRPr="00195CEA">
              <w:rPr>
                <w:lang w:val="en-GB"/>
              </w:rPr>
              <w:t>.</w:t>
            </w:r>
            <w:r>
              <w:rPr>
                <w:lang w:val="en-GB"/>
              </w:rPr>
              <w:t xml:space="preserve"> These trends are applied upon the individual values of the last reference year (2019) per administrative area up to 2050 the administrative areas.  </w:t>
            </w:r>
          </w:p>
        </w:tc>
      </w:tr>
      <w:tr w:rsidR="00A13782" w:rsidRPr="00B56803" w14:paraId="192F8D1C" w14:textId="77777777" w:rsidTr="00A13782">
        <w:tc>
          <w:tcPr>
            <w:tcW w:w="1383" w:type="pct"/>
          </w:tcPr>
          <w:p w14:paraId="66581A21" w14:textId="77777777" w:rsidR="00A13782" w:rsidRDefault="00A13782" w:rsidP="00877635">
            <w:pPr>
              <w:spacing w:line="276" w:lineRule="auto"/>
            </w:pPr>
            <w:r>
              <w:t>GNI per cap</w:t>
            </w:r>
          </w:p>
        </w:tc>
        <w:tc>
          <w:tcPr>
            <w:tcW w:w="3617" w:type="pct"/>
          </w:tcPr>
          <w:p w14:paraId="5CEF5A13" w14:textId="34BD1BAA" w:rsidR="00A13782" w:rsidRPr="00B56803" w:rsidRDefault="00A13782" w:rsidP="00877635">
            <w:pPr>
              <w:spacing w:line="276" w:lineRule="auto"/>
              <w:rPr>
                <w:lang w:val="en-GB"/>
              </w:rPr>
            </w:pPr>
            <w:r>
              <w:rPr>
                <w:lang w:val="en-GB"/>
              </w:rPr>
              <w:t xml:space="preserve">The SSP1, SSP2 and SSP3 GNI per capita scenarios follow the linearly interpolated % change GDP per cap PPP $2017 as developed by </w:t>
            </w:r>
            <w:r>
              <w:fldChar w:fldCharType="begin"/>
            </w:r>
            <w:r w:rsidRPr="00DC6CFA">
              <w:rPr>
                <w:lang w:val="en-GB"/>
              </w:rPr>
              <w:instrText xml:space="preserve"> ADDIN EN.CITE &lt;EndNote&gt;&lt;Cite AuthorYear="1"&gt;&lt;Author&gt;Koch&lt;/Author&gt;&lt;Year&gt;2023&lt;/Year&gt;&lt;RecNum&gt;1829&lt;/RecNum&gt;&lt;DisplayText&gt;Koch and Leimbach (2023)&lt;/DisplayText&gt;&lt;record&gt;&lt;rec-number&gt;1829&lt;/rec-number&gt;&lt;foreign-keys&gt;&lt;key app="EN" db-id="ppetvv0fwxp2x4ee2pcpfxpb0w0eexxrtf90" timestamp="1696325350"&gt;1829&lt;/key&gt;&lt;/foreign-keys&gt;&lt;ref-type name="Journal Article"&gt;17&lt;/ref-type&gt;&lt;contributors&gt;&lt;authors&gt;&lt;author&gt;Koch, Johannes&lt;/author&gt;&lt;author&gt;Leimbach, Marian&lt;/author&gt;&lt;/authors&gt;&lt;/contributors&gt;&lt;titles&gt;&lt;title&gt;SSP economic growth projections: Major changes of key drivers in integrated assessment modelling&lt;/title&gt;&lt;secondary-title&gt;Ecological Economics&lt;/secondary-title&gt;&lt;/titles&gt;&lt;periodical&gt;&lt;full-title&gt;Ecological Economics&lt;/full-title&gt;&lt;/periodical&gt;&lt;pages&gt;107751&lt;/pages&gt;&lt;volume&gt;206&lt;/volume&gt;&lt;keywords&gt;&lt;keyword&gt;SSP scenarios&lt;/keyword&gt;&lt;keyword&gt;GDP projections&lt;/keyword&gt;&lt;keyword&gt;COVID-19 impacts&lt;/keyword&gt;&lt;keyword&gt;GDP at PPP&lt;/keyword&gt;&lt;keyword&gt;DICE&lt;/keyword&gt;&lt;/keywords&gt;&lt;dates&gt;&lt;year&gt;2023&lt;/year&gt;&lt;pub-dates&gt;&lt;date&gt;2023/04/01/&lt;/date&gt;&lt;/pub-dates&gt;&lt;/dates&gt;&lt;isbn&gt;0921-8009&lt;/isbn&gt;&lt;urls&gt;&lt;related-urls&gt;&lt;url&gt;https://www.sciencedirect.com/science/article/pii/S0921800923000149&lt;/url&gt;&lt;/related-urls&gt;&lt;/urls&gt;&lt;electronic-resource-num&gt;10.1016/j.ecolecon.2023.107751&lt;/electronic-resource-num&gt;&lt;/record&gt;&lt;/Cite&gt;&lt;/EndNote&gt;</w:instrText>
            </w:r>
            <w:r>
              <w:fldChar w:fldCharType="separate"/>
            </w:r>
            <w:r>
              <w:rPr>
                <w:noProof/>
                <w:lang w:val="en-GB"/>
              </w:rPr>
              <w:t>Koch and Leimbach (2023)</w:t>
            </w:r>
            <w:r>
              <w:fldChar w:fldCharType="end"/>
            </w:r>
            <w:r>
              <w:rPr>
                <w:lang w:val="en-GB"/>
              </w:rPr>
              <w:t xml:space="preserve">. These trends are applied upon the individual values of the last reference year (2019) per administrative area up to 2050 the administrative areas.  </w:t>
            </w:r>
          </w:p>
        </w:tc>
      </w:tr>
      <w:tr w:rsidR="00A13782" w:rsidRPr="00CE307E" w14:paraId="721F4C2D" w14:textId="77777777" w:rsidTr="00A13782">
        <w:tc>
          <w:tcPr>
            <w:tcW w:w="1383" w:type="pct"/>
          </w:tcPr>
          <w:p w14:paraId="50452D2F" w14:textId="77777777" w:rsidR="00A13782" w:rsidRDefault="00A13782" w:rsidP="00877635">
            <w:pPr>
              <w:spacing w:line="276" w:lineRule="auto"/>
            </w:pPr>
            <w:r>
              <w:t>Inequality (GINI)</w:t>
            </w:r>
          </w:p>
        </w:tc>
        <w:tc>
          <w:tcPr>
            <w:tcW w:w="3617" w:type="pct"/>
          </w:tcPr>
          <w:p w14:paraId="08E33EE4" w14:textId="79C7D98C" w:rsidR="00A13782" w:rsidRPr="00CE307E" w:rsidRDefault="00A13782" w:rsidP="00877635">
            <w:pPr>
              <w:spacing w:line="276" w:lineRule="auto"/>
              <w:rPr>
                <w:lang w:val="en-GB"/>
              </w:rPr>
            </w:pPr>
            <w:r>
              <w:rPr>
                <w:lang w:val="en-GB"/>
              </w:rPr>
              <w:t xml:space="preserve">The SSP1, SSP2 and SSP3 GINI are based on the SSP trends for India as developed by </w:t>
            </w:r>
            <w:r>
              <w:fldChar w:fldCharType="begin"/>
            </w:r>
            <w:r w:rsidRPr="009F2F6D">
              <w:rPr>
                <w:lang w:val="en-GB"/>
              </w:rPr>
              <w:instrText xml:space="preserve"> ADDIN EN.CITE &lt;EndNote&gt;&lt;Cite AuthorYear="1"&gt;&lt;Author&gt;Rao&lt;/Author&gt;&lt;Year&gt;2019&lt;/Year&gt;&lt;RecNum&gt;150&lt;/RecNum&gt;&lt;DisplayText&gt;Rao et al. (2019)&lt;/DisplayText&gt;&lt;record&gt;&lt;rec-number&gt;150&lt;/rec-number&gt;&lt;foreign-keys&gt;&lt;key app="EN" db-id="ppetvv0fwxp2x4ee2pcpfxpb0w0eexxrtf90" timestamp="1564999651"&gt;150&lt;/key&gt;&lt;/foreign-keys&gt;&lt;ref-type name="Journal Article"&gt;17&lt;/ref-type&gt;&lt;contributors&gt;&lt;authors&gt;&lt;author&gt;Rao, Narasimha&lt;/author&gt;&lt;author&gt;Sauer, Petra&lt;/author&gt;&lt;author&gt;Gidden, Matthew&lt;/author&gt;&lt;author&gt;Riahi, Keywan &lt;/author&gt;&lt;/authors&gt;&lt;/contributors&gt;&lt;titles&gt;&lt;title&gt;Income inequality projections for the Shared Socioeconomic Pathways (SSPs)&lt;/title&gt;&lt;secondary-title&gt;Futures&lt;/secondary-title&gt;&lt;/titles&gt;&lt;periodical&gt;&lt;full-title&gt;Futures&lt;/full-title&gt;&lt;/periodical&gt;&lt;pages&gt;27-39&lt;/pages&gt;&lt;volume&gt;105&lt;/volume&gt;&lt;dates&gt;&lt;year&gt;2019&lt;/year&gt;&lt;/dates&gt;&lt;isbn&gt;0016-3287&lt;/isbn&gt;&lt;urls&gt;&lt;/urls&gt;&lt;electronic-resource-num&gt;10.1016/j.futures.2018.07.001&lt;/electronic-resource-num&gt;&lt;/record&gt;&lt;/Cite&gt;&lt;/EndNote&gt;</w:instrText>
            </w:r>
            <w:r>
              <w:fldChar w:fldCharType="separate"/>
            </w:r>
            <w:r>
              <w:rPr>
                <w:noProof/>
                <w:lang w:val="en-GB"/>
              </w:rPr>
              <w:t>Rao et al. (2019)</w:t>
            </w:r>
            <w:r>
              <w:fldChar w:fldCharType="end"/>
            </w:r>
            <w:r w:rsidRPr="00444A98">
              <w:rPr>
                <w:lang w:val="en-GB"/>
              </w:rPr>
              <w:t xml:space="preserve">. For South Asia, SSP trends are </w:t>
            </w:r>
            <w:r>
              <w:rPr>
                <w:lang w:val="en-GB"/>
              </w:rPr>
              <w:t xml:space="preserve">solely </w:t>
            </w:r>
            <w:r w:rsidRPr="00444A98">
              <w:rPr>
                <w:lang w:val="en-GB"/>
              </w:rPr>
              <w:t>available for India.</w:t>
            </w:r>
            <w:r>
              <w:rPr>
                <w:lang w:val="en-GB"/>
              </w:rPr>
              <w:t xml:space="preserve"> These trends are applied upon the individual values of the last reference year (2019) per administrative area up to 2050 the administrative areas.  </w:t>
            </w:r>
          </w:p>
        </w:tc>
      </w:tr>
      <w:tr w:rsidR="00A13782" w:rsidRPr="0060072A" w14:paraId="7D385FFE" w14:textId="77777777" w:rsidTr="00A13782">
        <w:tc>
          <w:tcPr>
            <w:tcW w:w="1383" w:type="pct"/>
          </w:tcPr>
          <w:p w14:paraId="35BA53CF" w14:textId="77777777" w:rsidR="00A13782" w:rsidRPr="00D55996" w:rsidRDefault="00A13782" w:rsidP="00877635">
            <w:pPr>
              <w:spacing w:line="276" w:lineRule="auto"/>
              <w:rPr>
                <w:lang w:val="en-GB"/>
              </w:rPr>
            </w:pPr>
            <w:r w:rsidRPr="00D55996">
              <w:rPr>
                <w:lang w:val="en-GB"/>
              </w:rPr>
              <w:t>Dry spells (number of d</w:t>
            </w:r>
            <w:r>
              <w:rPr>
                <w:lang w:val="en-GB"/>
              </w:rPr>
              <w:t>ry days)</w:t>
            </w:r>
          </w:p>
        </w:tc>
        <w:tc>
          <w:tcPr>
            <w:tcW w:w="3617" w:type="pct"/>
          </w:tcPr>
          <w:p w14:paraId="482DF09C" w14:textId="77777777" w:rsidR="00A13782" w:rsidRPr="0060072A" w:rsidRDefault="00A13782" w:rsidP="0087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GB"/>
              </w:rPr>
            </w:pPr>
            <w:r>
              <w:rPr>
                <w:lang w:val="en-GB"/>
              </w:rPr>
              <w:t xml:space="preserve">Multi-model ensembles RCP2.6, RCP4.5, RCP7.0 by </w:t>
            </w:r>
            <w:r>
              <w:fldChar w:fldCharType="begin"/>
            </w:r>
            <w:r>
              <w:rPr>
                <w:lang w:val="en-GB"/>
              </w:rPr>
              <w:instrText xml:space="preserve"> ADDIN EN.CITE &lt;EndNote&gt;&lt;Cite AuthorYear="1"&gt;&lt;Author&gt;World Bank Group&lt;/Author&gt;&lt;Year&gt;2023&lt;/Year&gt;&lt;RecNum&gt;1811&lt;/RecNum&gt;&lt;DisplayText&gt;World Bank Group (2023)&lt;/DisplayText&gt;&lt;record&gt;&lt;rec-number&gt;1811&lt;/rec-number&gt;&lt;foreign-keys&gt;&lt;key app="EN" db-id="ppetvv0fwxp2x4ee2pcpfxpb0w0eexxrtf90" timestamp="1692354329"&gt;1811&lt;/key&gt;&lt;/foreign-keys&gt;&lt;ref-type name="Dataset"&gt;59&lt;/ref-type&gt;&lt;contributors&gt;&lt;authors&gt;&lt;author&gt;World Bank Group,, &lt;/author&gt;&lt;/authors&gt;&lt;secondary-authors&gt;&lt;author&gt;World Bank Group&lt;/author&gt;&lt;/secondary-authors&gt;&lt;/contributors&gt;&lt;titles&gt;&lt;title&gt;Climate Change Knowledge Portal&lt;/title&gt;&lt;/titles&gt;&lt;dates&gt;&lt;year&gt;2023&lt;/year&gt;&lt;pub-dates&gt;&lt;date&gt;18 August 2023&lt;/date&gt;&lt;/pub-dates&gt;&lt;/dates&gt;&lt;urls&gt;&lt;related-urls&gt;&lt;url&gt;https://climateknowledgeportal.worldbank.org/download-data&lt;/url&gt;&lt;/related-urls&gt;&lt;/urls&gt;&lt;/record&gt;&lt;/Cite&gt;&lt;/EndNote&gt;</w:instrText>
            </w:r>
            <w:r>
              <w:fldChar w:fldCharType="separate"/>
            </w:r>
            <w:r>
              <w:rPr>
                <w:noProof/>
                <w:lang w:val="en-GB"/>
              </w:rPr>
              <w:t>World Bank Group (2023)</w:t>
            </w:r>
            <w:r>
              <w:fldChar w:fldCharType="end"/>
            </w:r>
          </w:p>
        </w:tc>
      </w:tr>
      <w:tr w:rsidR="00A13782" w:rsidRPr="0060072A" w14:paraId="13CCC6B4" w14:textId="77777777" w:rsidTr="00A13782">
        <w:tc>
          <w:tcPr>
            <w:tcW w:w="1383" w:type="pct"/>
          </w:tcPr>
          <w:p w14:paraId="76C78FCD" w14:textId="1199D5A8" w:rsidR="00A13782" w:rsidRPr="00D55996" w:rsidRDefault="00A13782" w:rsidP="00877635">
            <w:pPr>
              <w:spacing w:line="276" w:lineRule="auto"/>
              <w:rPr>
                <w:lang w:val="en-GB"/>
              </w:rPr>
            </w:pPr>
            <w:r w:rsidRPr="0060072A">
              <w:t>Fl</w:t>
            </w:r>
            <w:r w:rsidR="00153B97">
              <w:t>uvial f</w:t>
            </w:r>
            <w:r w:rsidR="00922ACF">
              <w:t>l</w:t>
            </w:r>
            <w:r w:rsidRPr="0060072A">
              <w:t>ood Volume</w:t>
            </w:r>
            <w:r>
              <w:t xml:space="preserve"> (M</w:t>
            </w:r>
            <w:r>
              <w:rPr>
                <w:vertAlign w:val="superscript"/>
              </w:rPr>
              <w:t>3</w:t>
            </w:r>
            <w:r>
              <w:t>)</w:t>
            </w:r>
          </w:p>
        </w:tc>
        <w:tc>
          <w:tcPr>
            <w:tcW w:w="3617" w:type="pct"/>
          </w:tcPr>
          <w:p w14:paraId="60E4A77A" w14:textId="77777777" w:rsidR="00A13782" w:rsidRPr="0060072A" w:rsidRDefault="00A13782" w:rsidP="00877635">
            <w:pPr>
              <w:spacing w:line="276" w:lineRule="auto"/>
              <w:rPr>
                <w:lang w:val="en-GB"/>
              </w:rPr>
            </w:pPr>
            <w:r w:rsidRPr="0060072A">
              <w:rPr>
                <w:lang w:val="en-GB"/>
              </w:rPr>
              <w:t>RCP 2.6, RCP 4.5 and RCP 6.0 dev</w:t>
            </w:r>
            <w:r>
              <w:rPr>
                <w:lang w:val="en-GB"/>
              </w:rPr>
              <w:t xml:space="preserve">eloped by the PCR-GLOB model </w:t>
            </w:r>
            <w:r w:rsidRPr="0060072A">
              <w:fldChar w:fldCharType="begin"/>
            </w:r>
            <w:r w:rsidRPr="0060072A">
              <w:rPr>
                <w:lang w:val="en-GB"/>
              </w:rPr>
              <w:instrText xml:space="preserve"> ADDIN EN.CITE &lt;EndNote&gt;&lt;Cite&gt;&lt;Author&gt;Sutanudjaja&lt;/Author&gt;&lt;Year&gt;2018&lt;/Year&gt;&lt;RecNum&gt;594&lt;/RecNum&gt;&lt;DisplayText&gt;(Sutanudjaja et al., 2018)&lt;/DisplayText&gt;&lt;record&gt;&lt;rec-number&gt;594&lt;/rec-number&gt;&lt;foreign-keys&gt;&lt;key app="EN" db-id="ppetvv0fwxp2x4ee2pcpfxpb0w0eexxrtf90" timestamp="1604576971"&gt;594&lt;/key&gt;&lt;/foreign-keys&gt;&lt;ref-type name="Journal Article"&gt;17&lt;/ref-type&gt;&lt;contributors&gt;&lt;authors&gt;&lt;author&gt;Sutanudjaja, Edwin H&lt;/author&gt;&lt;author&gt;Van Beek, Rens&lt;/author&gt;&lt;author&gt;Wanders, Niko&lt;/author&gt;&lt;author&gt;Wada, Yoshihide&lt;/author&gt;&lt;author&gt;Bosmans, Joyce HC&lt;/author&gt;&lt;author&gt;Drost, Niels&lt;/author&gt;&lt;author&gt;Van Der Ent, Ruud J&lt;/author&gt;&lt;author&gt;De Graaf, Inge EM&lt;/author&gt;&lt;author&gt;Hoch, Jannis M&lt;/author&gt;&lt;author&gt;De Jong, Kor&lt;/author&gt;&lt;/authors&gt;&lt;/contributors&gt;&lt;titles&gt;&lt;title&gt;PCR-GLOBWB 2: a 5 arcmin global hydrological and water resources model&lt;/title&gt;&lt;secondary-title&gt;Geoscientific Model Development&lt;/secondary-title&gt;&lt;/titles&gt;&lt;pages&gt;2429-2453&lt;/pages&gt;&lt;volume&gt;11&lt;/volume&gt;&lt;number&gt;6&lt;/number&gt;&lt;dates&gt;&lt;year&gt;2018&lt;/year&gt;&lt;/dates&gt;&lt;isbn&gt;1991-9603&lt;/isbn&gt;&lt;urls&gt;&lt;/urls&gt;&lt;electronic-resource-num&gt;10.5194/gmd-11-2429-2018&lt;/electronic-resource-num&gt;&lt;/record&gt;&lt;/Cite&gt;&lt;/EndNote&gt;</w:instrText>
            </w:r>
            <w:r w:rsidRPr="0060072A">
              <w:fldChar w:fldCharType="separate"/>
            </w:r>
            <w:r w:rsidRPr="0060072A">
              <w:rPr>
                <w:noProof/>
                <w:lang w:val="en-GB"/>
              </w:rPr>
              <w:t>(Sutanudjaja et al., 2018)</w:t>
            </w:r>
            <w:r w:rsidRPr="0060072A">
              <w:fldChar w:fldCharType="end"/>
            </w:r>
            <w:r w:rsidRPr="0060072A">
              <w:rPr>
                <w:lang w:val="en-GB"/>
              </w:rPr>
              <w:t>.</w:t>
            </w:r>
          </w:p>
        </w:tc>
      </w:tr>
      <w:tr w:rsidR="00A13782" w14:paraId="53BB3FED" w14:textId="77777777" w:rsidTr="00A13782">
        <w:tc>
          <w:tcPr>
            <w:tcW w:w="1383" w:type="pct"/>
          </w:tcPr>
          <w:p w14:paraId="78D3920E" w14:textId="77777777" w:rsidR="00A13782" w:rsidRPr="00A67631" w:rsidRDefault="00A13782" w:rsidP="00877635">
            <w:pPr>
              <w:spacing w:line="276" w:lineRule="auto"/>
              <w:rPr>
                <w:i/>
                <w:iCs/>
                <w:lang w:val="en-GB"/>
              </w:rPr>
            </w:pPr>
            <w:r>
              <w:rPr>
                <w:lang w:val="en-GB"/>
              </w:rPr>
              <w:t xml:space="preserve">Precipitation </w:t>
            </w:r>
          </w:p>
        </w:tc>
        <w:tc>
          <w:tcPr>
            <w:tcW w:w="3617" w:type="pct"/>
          </w:tcPr>
          <w:p w14:paraId="67971C78" w14:textId="77777777" w:rsidR="00A13782" w:rsidRPr="00A67631" w:rsidRDefault="00A13782" w:rsidP="0087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GB"/>
              </w:rPr>
            </w:pPr>
            <w:r>
              <w:rPr>
                <w:lang w:val="en-GB"/>
              </w:rPr>
              <w:t xml:space="preserve">Multi-model ensembles RCP2.6, RCP4.5, RCP7.0 by </w:t>
            </w:r>
            <w:r>
              <w:fldChar w:fldCharType="begin"/>
            </w:r>
            <w:r>
              <w:rPr>
                <w:lang w:val="en-GB"/>
              </w:rPr>
              <w:instrText xml:space="preserve"> ADDIN EN.CITE &lt;EndNote&gt;&lt;Cite AuthorYear="1"&gt;&lt;Author&gt;World Bank Group&lt;/Author&gt;&lt;Year&gt;2023&lt;/Year&gt;&lt;RecNum&gt;1811&lt;/RecNum&gt;&lt;DisplayText&gt;World Bank Group (2023)&lt;/DisplayText&gt;&lt;record&gt;&lt;rec-number&gt;1811&lt;/rec-number&gt;&lt;foreign-keys&gt;&lt;key app="EN" db-id="ppetvv0fwxp2x4ee2pcpfxpb0w0eexxrtf90" timestamp="1692354329"&gt;1811&lt;/key&gt;&lt;/foreign-keys&gt;&lt;ref-type name="Dataset"&gt;59&lt;/ref-type&gt;&lt;contributors&gt;&lt;authors&gt;&lt;author&gt;World Bank Group,, &lt;/author&gt;&lt;/authors&gt;&lt;secondary-authors&gt;&lt;author&gt;World Bank Group&lt;/author&gt;&lt;/secondary-authors&gt;&lt;/contributors&gt;&lt;titles&gt;&lt;title&gt;Climate Change Knowledge Portal&lt;/title&gt;&lt;/titles&gt;&lt;dates&gt;&lt;year&gt;2023&lt;/year&gt;&lt;pub-dates&gt;&lt;date&gt;18 August 2023&lt;/date&gt;&lt;/pub-dates&gt;&lt;/dates&gt;&lt;urls&gt;&lt;related-urls&gt;&lt;url&gt;https://climateknowledgeportal.worldbank.org/download-data&lt;/url&gt;&lt;/related-urls&gt;&lt;/urls&gt;&lt;/record&gt;&lt;/Cite&gt;&lt;/EndNote&gt;</w:instrText>
            </w:r>
            <w:r>
              <w:fldChar w:fldCharType="separate"/>
            </w:r>
            <w:r>
              <w:rPr>
                <w:noProof/>
                <w:lang w:val="en-GB"/>
              </w:rPr>
              <w:t>World Bank Group (2023)</w:t>
            </w:r>
            <w:r>
              <w:fldChar w:fldCharType="end"/>
            </w:r>
          </w:p>
        </w:tc>
      </w:tr>
      <w:tr w:rsidR="00A13782" w:rsidRPr="0060072A" w14:paraId="23534C6B" w14:textId="77777777" w:rsidTr="00A13782">
        <w:tc>
          <w:tcPr>
            <w:tcW w:w="1383" w:type="pct"/>
          </w:tcPr>
          <w:p w14:paraId="51903998" w14:textId="77777777" w:rsidR="00A13782" w:rsidRPr="006869D5" w:rsidRDefault="00A13782" w:rsidP="00877635">
            <w:pPr>
              <w:spacing w:line="276" w:lineRule="auto"/>
            </w:pPr>
            <w:r>
              <w:t>Temperature</w:t>
            </w:r>
          </w:p>
        </w:tc>
        <w:tc>
          <w:tcPr>
            <w:tcW w:w="3617" w:type="pct"/>
          </w:tcPr>
          <w:p w14:paraId="24FE5589" w14:textId="77777777" w:rsidR="00A13782" w:rsidRPr="0060072A" w:rsidRDefault="00A13782" w:rsidP="00877635">
            <w:pPr>
              <w:spacing w:line="276" w:lineRule="auto"/>
              <w:rPr>
                <w:lang w:val="en-GB"/>
              </w:rPr>
            </w:pPr>
            <w:r w:rsidRPr="0060072A">
              <w:rPr>
                <w:lang w:val="en-GB"/>
              </w:rPr>
              <w:t xml:space="preserve">RCP2.6, RCP4.5, RCP7.0 developed by the IMAGE model </w:t>
            </w:r>
            <w:r>
              <w:fldChar w:fldCharType="begin">
                <w:fldData xml:space="preserve">PEVuZE5vdGU+PENpdGU+PEF1dGhvcj5Eb2VsbWFuPC9BdXRob3I+PFllYXI+MjAxODwvWWVhcj48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</w:fldData>
              </w:fldChar>
            </w:r>
            <w:r w:rsidRPr="0060072A">
              <w:rPr>
                <w:lang w:val="en-GB"/>
              </w:rPr>
              <w:instrText xml:space="preserve"> ADDIN EN.CITE </w:instrText>
            </w:r>
            <w:r>
              <w:fldChar w:fldCharType="begin">
                <w:fldData xml:space="preserve">PEVuZE5vdGU+PENpdGU+PEF1dGhvcj5Eb2VsbWFuPC9BdXRob3I+PFllYXI+MjAxODwvWWVhcj48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</w:fldData>
              </w:fldChar>
            </w:r>
            <w:r w:rsidRPr="0060072A">
              <w:rPr>
                <w:lang w:val="en-GB"/>
              </w:rPr>
              <w:instrText xml:space="preserve"> ADDIN EN.CITE.DATA </w:instrText>
            </w:r>
            <w:r>
              <w:fldChar w:fldCharType="end"/>
            </w:r>
            <w:r>
              <w:fldChar w:fldCharType="separate"/>
            </w:r>
            <w:r w:rsidRPr="0060072A">
              <w:rPr>
                <w:noProof/>
                <w:lang w:val="en-GB"/>
              </w:rPr>
              <w:t>(Doelman et al., 2018; Stehfest et al., 2014)</w:t>
            </w:r>
            <w:r>
              <w:fldChar w:fldCharType="end"/>
            </w:r>
          </w:p>
        </w:tc>
      </w:tr>
      <w:tr w:rsidR="00A13782" w:rsidRPr="003F1406" w14:paraId="3ACF5EA1" w14:textId="77777777" w:rsidTr="00A13782">
        <w:tc>
          <w:tcPr>
            <w:tcW w:w="1383" w:type="pct"/>
          </w:tcPr>
          <w:p w14:paraId="4DA77079" w14:textId="77777777" w:rsidR="00A13782" w:rsidRPr="005502BD" w:rsidRDefault="00A13782" w:rsidP="00877635">
            <w:pPr>
              <w:spacing w:line="276" w:lineRule="auto"/>
              <w:rPr>
                <w:b/>
                <w:bCs/>
                <w:i/>
                <w:iCs/>
                <w:highlight w:val="yellow"/>
              </w:rPr>
            </w:pPr>
            <w:r>
              <w:rPr>
                <w:lang w:val="en-GB"/>
              </w:rPr>
              <w:t xml:space="preserve">Actual yield </w:t>
            </w:r>
            <w:r w:rsidRPr="00D41B7B">
              <w:rPr>
                <w:lang w:val="en-GB"/>
              </w:rPr>
              <w:t xml:space="preserve"> </w:t>
            </w:r>
          </w:p>
        </w:tc>
        <w:tc>
          <w:tcPr>
            <w:tcW w:w="3617" w:type="pct"/>
          </w:tcPr>
          <w:p w14:paraId="2B92B65D" w14:textId="77777777" w:rsidR="00A13782" w:rsidRPr="003F1406" w:rsidRDefault="00A13782" w:rsidP="00877635">
            <w:pPr>
              <w:spacing w:line="276" w:lineRule="auto"/>
              <w:rPr>
                <w:lang w:val="en-US"/>
              </w:rPr>
            </w:pPr>
            <w:r w:rsidRPr="003F1406">
              <w:rPr>
                <w:lang w:val="en-US"/>
              </w:rPr>
              <w:t xml:space="preserve">SSP1-RCP2.6, SSP2 – RCP4.5, SSP3 – RCP7.0 developed by the IMAGE model </w:t>
            </w:r>
            <w:r>
              <w:fldChar w:fldCharType="begin">
                <w:fldData xml:space="preserve">PEVuZE5vdGU+PENpdGU+PEF1dGhvcj5Eb2VsbWFuPC9BdXRob3I+PFllYXI+MjAxODwvWWVhcj48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</w:fldData>
              </w:fldChar>
            </w:r>
            <w:r w:rsidRPr="003F1406">
              <w:rPr>
                <w:lang w:val="en-US"/>
              </w:rPr>
              <w:instrText xml:space="preserve"> ADDIN EN.CITE </w:instrText>
            </w:r>
            <w:r>
              <w:fldChar w:fldCharType="begin">
                <w:fldData xml:space="preserve">PEVuZE5vdGU+PENpdGU+PEF1dGhvcj5Eb2VsbWFuPC9BdXRob3I+PFllYXI+MjAxODwvWWVhcj48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</w:fldData>
              </w:fldChar>
            </w:r>
            <w:r w:rsidRPr="003F1406">
              <w:rPr>
                <w:lang w:val="en-US"/>
              </w:rPr>
              <w:instrText xml:space="preserve"> ADDIN EN.CITE.DATA </w:instrText>
            </w:r>
            <w:r>
              <w:fldChar w:fldCharType="end"/>
            </w:r>
            <w:r>
              <w:fldChar w:fldCharType="separate"/>
            </w:r>
            <w:r w:rsidRPr="003F1406">
              <w:rPr>
                <w:noProof/>
                <w:lang w:val="en-US"/>
              </w:rPr>
              <w:t>(Doelman et al., 2018; Stehfest et al., 2014)</w:t>
            </w:r>
            <w:r>
              <w:fldChar w:fldCharType="end"/>
            </w:r>
          </w:p>
        </w:tc>
      </w:tr>
    </w:tbl>
    <w:p w14:paraId="406E232D" w14:textId="77777777" w:rsidR="005701A5" w:rsidRDefault="005701A5" w:rsidP="005701A5"/>
    <w:p w14:paraId="0A43D131" w14:textId="77777777" w:rsidR="005701A5" w:rsidRDefault="005701A5" w:rsidP="005701A5">
      <w:pPr>
        <w:spacing w:line="276" w:lineRule="auto"/>
      </w:pPr>
    </w:p>
    <w:p w14:paraId="277BADD3" w14:textId="77777777" w:rsidR="00880C61" w:rsidRDefault="00880C61" w:rsidP="005701A5">
      <w:pPr>
        <w:spacing w:line="276" w:lineRule="auto"/>
      </w:pPr>
    </w:p>
    <w:p w14:paraId="2AD1ABCD" w14:textId="77777777" w:rsidR="00880C61" w:rsidRDefault="00880C61" w:rsidP="00A347A9">
      <w:pPr>
        <w:spacing w:line="276" w:lineRule="auto"/>
      </w:pPr>
    </w:p>
    <w:p w14:paraId="55ED9C0E" w14:textId="77777777" w:rsidR="00880C61" w:rsidRDefault="00880C61" w:rsidP="00A347A9">
      <w:pPr>
        <w:spacing w:line="276" w:lineRule="auto"/>
      </w:pPr>
    </w:p>
    <w:p w14:paraId="29BD03E2" w14:textId="77777777" w:rsidR="00880C61" w:rsidRDefault="00880C61">
      <w:pPr>
        <w:rPr>
          <w:rFonts w:asciiTheme="majorHAnsi" w:eastAsiaTheme="majorEastAsia" w:hAnsiTheme="majorHAnsi" w:cstheme="majorBidi"/>
          <w:sz w:val="26"/>
          <w:szCs w:val="26"/>
        </w:rPr>
      </w:pPr>
      <w:r>
        <w:br w:type="page"/>
      </w:r>
    </w:p>
    <w:p w14:paraId="3DD218EC" w14:textId="18B9C509" w:rsidR="00880C61" w:rsidRPr="007C4064" w:rsidRDefault="00880C61" w:rsidP="00880C61">
      <w:pPr>
        <w:pStyle w:val="Heading2"/>
        <w:rPr>
          <w:color w:val="auto"/>
        </w:rPr>
      </w:pPr>
      <w:r>
        <w:rPr>
          <w:color w:val="auto"/>
        </w:rPr>
        <w:lastRenderedPageBreak/>
        <w:t>S1. Supplementary figures</w:t>
      </w:r>
      <w:r w:rsidRPr="007C4064">
        <w:rPr>
          <w:color w:val="auto"/>
        </w:rPr>
        <w:t xml:space="preserve"> </w:t>
      </w:r>
    </w:p>
    <w:p w14:paraId="278E0FBE" w14:textId="77777777" w:rsidR="00880C61" w:rsidRDefault="00880C61" w:rsidP="00A347A9">
      <w:pPr>
        <w:spacing w:line="276" w:lineRule="auto"/>
      </w:pPr>
    </w:p>
    <w:p w14:paraId="61F7D1FA" w14:textId="75F15EDC" w:rsidR="00A347A9" w:rsidRDefault="003759A5" w:rsidP="00A347A9">
      <w:pPr>
        <w:spacing w:line="276" w:lineRule="auto"/>
      </w:pPr>
      <w:r>
        <w:rPr>
          <w:noProof/>
        </w:rPr>
        <w:drawing>
          <wp:inline distT="0" distB="0" distL="0" distR="0" wp14:anchorId="2E4883DD" wp14:editId="326D8275">
            <wp:extent cx="5731510" cy="50933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093335"/>
                    </a:xfrm>
                    <a:prstGeom prst="rect">
                      <a:avLst/>
                    </a:prstGeom>
                    <a:noFill/>
                    <a:ln>
                      <a:noFill/>
                    </a:ln>
                  </pic:spPr>
                </pic:pic>
              </a:graphicData>
            </a:graphic>
          </wp:inline>
        </w:drawing>
      </w:r>
    </w:p>
    <w:p w14:paraId="55C046F0" w14:textId="74FCBBEB" w:rsidR="005701A5" w:rsidRPr="008614EA" w:rsidRDefault="00A347A9" w:rsidP="005701A5">
      <w:pPr>
        <w:spacing w:line="276" w:lineRule="auto"/>
        <w:jc w:val="both"/>
      </w:pPr>
      <w:r w:rsidRPr="00A13782">
        <w:t xml:space="preserve">Figure </w:t>
      </w:r>
      <w:r w:rsidR="008614EA">
        <w:t>S1</w:t>
      </w:r>
      <w:r w:rsidRPr="00A13782">
        <w:t>: Correlation matrix of the sample data</w:t>
      </w:r>
      <w:r w:rsidR="005701A5" w:rsidRPr="00A13782">
        <w:t xml:space="preserve">. </w:t>
      </w:r>
      <w:r w:rsidR="005701A5" w:rsidRPr="008614EA">
        <w:t xml:space="preserve">For correlation between individual predictors, we used a value of 0.8 as threshold value, based on other studies </w:t>
      </w:r>
      <w:r w:rsidR="005701A5" w:rsidRPr="008614EA">
        <w:fldChar w:fldCharType="begin"/>
      </w:r>
      <w:r w:rsidR="005701A5" w:rsidRPr="008614EA">
        <w:instrText xml:space="preserve"> ADDIN EN.CITE &lt;EndNote&gt;&lt;Cite&gt;&lt;Author&gt;Chan&lt;/Author&gt;&lt;Year&gt;2022&lt;/Year&gt;&lt;RecNum&gt;1924&lt;/RecNum&gt;&lt;DisplayText&gt;(Chan et al., 2022)&lt;/DisplayText&gt;&lt;record&gt;&lt;rec-number&gt;1924&lt;/rec-number&gt;&lt;foreign-keys&gt;&lt;key app="EN" db-id="ppetvv0fwxp2x4ee2pcpfxpb0w0eexxrtf90" timestamp="1702036615"&gt;1924&lt;/key&gt;&lt;/foreign-keys&gt;&lt;ref-type name="Journal Article"&gt;17&lt;/ref-type&gt;&lt;contributors&gt;&lt;authors&gt;&lt;author&gt;Chan, Jireh Yi-Le&lt;/author&gt;&lt;author&gt;Leow, Steven Mun Hong&lt;/author&gt;&lt;author&gt;Bea, Khean Thye&lt;/author&gt;&lt;author&gt;Cheng, Wai Khuen&lt;/author&gt;&lt;author&gt;Phoong, Seuk Wai&lt;/author&gt;&lt;author&gt;Hong, Zeng-Wei&lt;/author&gt;&lt;author&gt;Chen, Yen-Lin&lt;/author&gt;&lt;/authors&gt;&lt;/contributors&gt;&lt;titles&gt;&lt;title&gt;Mitigating the Multicollinearity Problem and Its Machine Learning Approach: A Review&lt;/title&gt;&lt;secondary-title&gt;Mathematics&lt;/secondary-title&gt;&lt;/titles&gt;&lt;periodical&gt;&lt;full-title&gt;Mathematics&lt;/full-title&gt;&lt;/periodical&gt;&lt;pages&gt;1283&lt;/pages&gt;&lt;volume&gt;10&lt;/volume&gt;&lt;number&gt;8&lt;/number&gt;&lt;dates&gt;&lt;year&gt;2022&lt;/year&gt;&lt;/dates&gt;&lt;isbn&gt;2227-7390&lt;/isbn&gt;&lt;accession-num&gt;doi:10.3390/math10081283&lt;/accession-num&gt;&lt;urls&gt;&lt;related-urls&gt;&lt;url&gt;https://www.mdpi.com/2227-7390/10/8/1283&lt;/url&gt;&lt;/related-urls&gt;&lt;/urls&gt;&lt;/record&gt;&lt;/Cite&gt;&lt;/EndNote&gt;</w:instrText>
      </w:r>
      <w:r w:rsidR="005701A5" w:rsidRPr="008614EA">
        <w:fldChar w:fldCharType="separate"/>
      </w:r>
      <w:r w:rsidR="005701A5" w:rsidRPr="008614EA">
        <w:rPr>
          <w:noProof/>
        </w:rPr>
        <w:t>(Chan et al., 2022)</w:t>
      </w:r>
      <w:r w:rsidR="005701A5" w:rsidRPr="008614EA">
        <w:fldChar w:fldCharType="end"/>
      </w:r>
      <w:r w:rsidR="005701A5" w:rsidRPr="008614EA">
        <w:t xml:space="preserve">. For the indicators used in this study, the highest value is 0.66, representing the correlation between GNI per capita and education. </w:t>
      </w:r>
    </w:p>
    <w:p w14:paraId="7B3F527C" w14:textId="0B1EB67D" w:rsidR="00A347A9" w:rsidRDefault="00223375" w:rsidP="00A347A9">
      <w:pPr>
        <w:spacing w:line="276" w:lineRule="auto"/>
        <w:rPr>
          <w:b/>
          <w:bCs/>
        </w:rPr>
      </w:pPr>
      <w:r>
        <w:rPr>
          <w:noProof/>
        </w:rPr>
        <w:lastRenderedPageBreak/>
        <w:drawing>
          <wp:inline distT="0" distB="0" distL="0" distR="0" wp14:anchorId="440A49AE" wp14:editId="71431258">
            <wp:extent cx="5731510" cy="81438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143875"/>
                    </a:xfrm>
                    <a:prstGeom prst="rect">
                      <a:avLst/>
                    </a:prstGeom>
                    <a:noFill/>
                    <a:ln>
                      <a:noFill/>
                    </a:ln>
                  </pic:spPr>
                </pic:pic>
              </a:graphicData>
            </a:graphic>
          </wp:inline>
        </w:drawing>
      </w:r>
    </w:p>
    <w:p w14:paraId="320D6F02" w14:textId="6F249738" w:rsidR="00880C61" w:rsidRDefault="00D91437">
      <w:r w:rsidRPr="00A13782">
        <w:t xml:space="preserve">Figure </w:t>
      </w:r>
      <w:r w:rsidR="00880C61" w:rsidRPr="00A13782">
        <w:t>S2</w:t>
      </w:r>
      <w:r w:rsidRPr="00A13782">
        <w:t xml:space="preserve"> Feature importance per country and the combined South Asian region. Per variable, the lighter shaded upper bar represents the RFR run and the darker shaded lower bar represents the RFC run.</w:t>
      </w:r>
    </w:p>
    <w:p w14:paraId="3654BD68" w14:textId="3244A44B" w:rsidR="00F0497F" w:rsidRPr="00A13782" w:rsidRDefault="00880C61" w:rsidP="00C2164C">
      <w:pPr>
        <w:rPr>
          <w:b/>
          <w:bCs/>
        </w:rPr>
      </w:pPr>
      <w:r w:rsidRPr="00A13782">
        <w:rPr>
          <w:b/>
          <w:bCs/>
        </w:rPr>
        <w:lastRenderedPageBreak/>
        <w:t xml:space="preserve">References </w:t>
      </w:r>
    </w:p>
    <w:p w14:paraId="26DAA3B1" w14:textId="628B69BB" w:rsidR="00922ACF" w:rsidRPr="00922ACF" w:rsidRDefault="00F0497F" w:rsidP="00922ACF">
      <w:pPr>
        <w:pStyle w:val="EndNoteBibliography"/>
        <w:spacing w:after="0"/>
        <w:ind w:left="720" w:hanging="720"/>
      </w:pPr>
      <w:r>
        <w:fldChar w:fldCharType="begin"/>
      </w:r>
      <w:r>
        <w:instrText xml:space="preserve"> ADDIN EN.REFLIST </w:instrText>
      </w:r>
      <w:r>
        <w:fldChar w:fldCharType="separate"/>
      </w:r>
      <w:r w:rsidR="00922ACF" w:rsidRPr="00922ACF">
        <w:t xml:space="preserve">Chan, J. Y.-L., Leow, S. M. H., Bea, K. T., Cheng, W. K., Phoong, S. W., Hong, Z.-W., &amp; Chen, Y.-L. (2022). Mitigating the Multicollinearity Problem and Its Machine Learning Approach: A Review. </w:t>
      </w:r>
      <w:r w:rsidR="00922ACF" w:rsidRPr="00922ACF">
        <w:rPr>
          <w:i/>
        </w:rPr>
        <w:t>Mathematics</w:t>
      </w:r>
      <w:r w:rsidR="00922ACF" w:rsidRPr="00922ACF">
        <w:t>,</w:t>
      </w:r>
      <w:r w:rsidR="00922ACF" w:rsidRPr="00922ACF">
        <w:rPr>
          <w:i/>
        </w:rPr>
        <w:t xml:space="preserve"> 10</w:t>
      </w:r>
      <w:r w:rsidR="00922ACF" w:rsidRPr="00922ACF">
        <w:t xml:space="preserve">(8), 1283. </w:t>
      </w:r>
      <w:hyperlink r:id="rId7" w:history="1">
        <w:r w:rsidR="00922ACF" w:rsidRPr="00922ACF">
          <w:rPr>
            <w:rStyle w:val="Hyperlink"/>
          </w:rPr>
          <w:t>https://www.mdpi.com/2227-7390/10/8/1283</w:t>
        </w:r>
      </w:hyperlink>
      <w:r w:rsidR="00922ACF" w:rsidRPr="00922ACF">
        <w:t xml:space="preserve"> </w:t>
      </w:r>
    </w:p>
    <w:p w14:paraId="4AE20411" w14:textId="06CDE511" w:rsidR="00922ACF" w:rsidRPr="00922ACF" w:rsidRDefault="00922ACF" w:rsidP="00922ACF">
      <w:pPr>
        <w:pStyle w:val="EndNoteBibliography"/>
        <w:spacing w:after="0"/>
        <w:ind w:left="720" w:hanging="720"/>
      </w:pPr>
      <w:r w:rsidRPr="00922ACF">
        <w:t xml:space="preserve">Doelman, J. C., Stehfest, E., Tabeau, A., van Meijl, H., Lassaletta, L., Gernaat, D. E., Hermans, K., Harmsen, M., Daioglou, V., &amp; Biemans, H. (2018). Exploring SSP land-use dynamics using the IMAGE model: Regional and gridded scenarios of land-use change and land-based climate change mitigation. </w:t>
      </w:r>
      <w:r w:rsidRPr="00922ACF">
        <w:rPr>
          <w:i/>
        </w:rPr>
        <w:t>Global Environmental Change</w:t>
      </w:r>
      <w:r w:rsidRPr="00922ACF">
        <w:t>,</w:t>
      </w:r>
      <w:r w:rsidRPr="00922ACF">
        <w:rPr>
          <w:i/>
        </w:rPr>
        <w:t xml:space="preserve"> 48</w:t>
      </w:r>
      <w:r w:rsidRPr="00922ACF">
        <w:t xml:space="preserve">, 119-135. </w:t>
      </w:r>
      <w:hyperlink r:id="rId8" w:history="1">
        <w:r w:rsidRPr="00922ACF">
          <w:rPr>
            <w:rStyle w:val="Hyperlink"/>
          </w:rPr>
          <w:t>https://doi.org/10.1016/j.gloenvcha.2017.11.014</w:t>
        </w:r>
      </w:hyperlink>
      <w:r w:rsidRPr="00922ACF">
        <w:t xml:space="preserve"> </w:t>
      </w:r>
    </w:p>
    <w:p w14:paraId="720800A6" w14:textId="77777777" w:rsidR="00922ACF" w:rsidRPr="00922ACF" w:rsidRDefault="00922ACF" w:rsidP="00922ACF">
      <w:pPr>
        <w:pStyle w:val="EndNoteBibliography"/>
        <w:spacing w:after="0"/>
        <w:ind w:left="720" w:hanging="720"/>
      </w:pPr>
      <w:r w:rsidRPr="00922ACF">
        <w:t xml:space="preserve">James, G., Witten, D., Hastie, T., &amp; Tibshirani, R. e. (2013). </w:t>
      </w:r>
      <w:r w:rsidRPr="00922ACF">
        <w:rPr>
          <w:i/>
        </w:rPr>
        <w:t>An introduction to statistical learning: with applications in R.</w:t>
      </w:r>
      <w:r w:rsidRPr="00922ACF">
        <w:t xml:space="preserve"> Springer. </w:t>
      </w:r>
    </w:p>
    <w:p w14:paraId="06FD71E4" w14:textId="1A07B5B6" w:rsidR="00922ACF" w:rsidRPr="00922ACF" w:rsidRDefault="00922ACF" w:rsidP="00922ACF">
      <w:pPr>
        <w:pStyle w:val="EndNoteBibliography"/>
        <w:spacing w:after="0"/>
        <w:ind w:left="720" w:hanging="720"/>
      </w:pPr>
      <w:r w:rsidRPr="00922ACF">
        <w:t xml:space="preserve">Koch, J., &amp; Leimbach, M. (2023). SSP economic growth projections: Major changes of key drivers in integrated assessment modelling. </w:t>
      </w:r>
      <w:r w:rsidRPr="00922ACF">
        <w:rPr>
          <w:i/>
        </w:rPr>
        <w:t>Ecological Economics</w:t>
      </w:r>
      <w:r w:rsidRPr="00922ACF">
        <w:t>,</w:t>
      </w:r>
      <w:r w:rsidRPr="00922ACF">
        <w:rPr>
          <w:i/>
        </w:rPr>
        <w:t xml:space="preserve"> 206</w:t>
      </w:r>
      <w:r w:rsidRPr="00922ACF">
        <w:t xml:space="preserve">, 107751. </w:t>
      </w:r>
      <w:hyperlink r:id="rId9" w:history="1">
        <w:r w:rsidRPr="00922ACF">
          <w:rPr>
            <w:rStyle w:val="Hyperlink"/>
          </w:rPr>
          <w:t>https://doi.org/10.1016/j.ecolecon.2023.107751</w:t>
        </w:r>
      </w:hyperlink>
      <w:r w:rsidRPr="00922ACF">
        <w:t xml:space="preserve"> </w:t>
      </w:r>
    </w:p>
    <w:p w14:paraId="01A93F04" w14:textId="77777777" w:rsidR="00922ACF" w:rsidRPr="00922ACF" w:rsidRDefault="00922ACF" w:rsidP="00922ACF">
      <w:pPr>
        <w:pStyle w:val="EndNoteBibliography"/>
        <w:spacing w:after="0"/>
        <w:ind w:left="720" w:hanging="720"/>
      </w:pPr>
      <w:r w:rsidRPr="00922ACF">
        <w:t xml:space="preserve">Lutz, W., Goujon, A., Kc, S., Stonawski, M., &amp; Stilianakis, N. (2018). </w:t>
      </w:r>
      <w:r w:rsidRPr="00922ACF">
        <w:rPr>
          <w:i/>
        </w:rPr>
        <w:t>Demographic and human capital scenarios for the 21st century: 2018 assessment for 201 countries</w:t>
      </w:r>
      <w:r w:rsidRPr="00922ACF">
        <w:t xml:space="preserve">. Publications Office of the European Union. </w:t>
      </w:r>
    </w:p>
    <w:p w14:paraId="251CD69D" w14:textId="23422515" w:rsidR="00922ACF" w:rsidRPr="00922ACF" w:rsidRDefault="00922ACF" w:rsidP="00922ACF">
      <w:pPr>
        <w:pStyle w:val="EndNoteBibliography"/>
        <w:spacing w:after="0"/>
        <w:ind w:left="720" w:hanging="720"/>
      </w:pPr>
      <w:r w:rsidRPr="00922ACF">
        <w:t xml:space="preserve">Rao, N., Sauer, P., Gidden, M., &amp; Riahi, K. (2019). Income inequality projections for the Shared Socioeconomic Pathways (SSPs). </w:t>
      </w:r>
      <w:r w:rsidRPr="00922ACF">
        <w:rPr>
          <w:i/>
        </w:rPr>
        <w:t>Futures</w:t>
      </w:r>
      <w:r w:rsidRPr="00922ACF">
        <w:t>,</w:t>
      </w:r>
      <w:r w:rsidRPr="00922ACF">
        <w:rPr>
          <w:i/>
        </w:rPr>
        <w:t xml:space="preserve"> 105</w:t>
      </w:r>
      <w:r w:rsidRPr="00922ACF">
        <w:t xml:space="preserve">, 27-39. </w:t>
      </w:r>
      <w:hyperlink r:id="rId10" w:history="1">
        <w:r w:rsidRPr="00922ACF">
          <w:rPr>
            <w:rStyle w:val="Hyperlink"/>
          </w:rPr>
          <w:t>https://doi.org/10.1016/j.futures.2018.07.001</w:t>
        </w:r>
      </w:hyperlink>
      <w:r w:rsidRPr="00922ACF">
        <w:t xml:space="preserve"> </w:t>
      </w:r>
    </w:p>
    <w:p w14:paraId="0C784B6D" w14:textId="77777777" w:rsidR="00922ACF" w:rsidRPr="00922ACF" w:rsidRDefault="00922ACF" w:rsidP="00922ACF">
      <w:pPr>
        <w:pStyle w:val="EndNoteBibliography"/>
        <w:spacing w:after="0"/>
        <w:ind w:left="720" w:hanging="720"/>
      </w:pPr>
      <w:r w:rsidRPr="00922ACF">
        <w:t xml:space="preserve">Stehfest, E., Vuuren, D. v., Kram, T., Bouwman, L., Alkemade, R., Bakkenes, M., Biemans, H., Bouwman, A., Elzen, M. d., Janse, J., Lucas, P., Minnen, J. v., Müller, C., &amp; Prins, A. G. (2014). </w:t>
      </w:r>
      <w:r w:rsidRPr="00922ACF">
        <w:rPr>
          <w:i/>
        </w:rPr>
        <w:t>Integrated Assessment of Global Environmental Change with IMAGE 3.0. Model description and policy applications</w:t>
      </w:r>
      <w:r w:rsidRPr="00922ACF">
        <w:t xml:space="preserve">. PBL Netherlands Environmental Assessment Agency. </w:t>
      </w:r>
    </w:p>
    <w:p w14:paraId="500322DD" w14:textId="465619B8" w:rsidR="00922ACF" w:rsidRPr="00922ACF" w:rsidRDefault="00922ACF" w:rsidP="00922ACF">
      <w:pPr>
        <w:pStyle w:val="EndNoteBibliography"/>
        <w:spacing w:after="0"/>
        <w:ind w:left="720" w:hanging="720"/>
      </w:pPr>
      <w:r w:rsidRPr="00922ACF">
        <w:t xml:space="preserve">Sutanudjaja, E. H., Van Beek, R., Wanders, N., Wada, Y., Bosmans, J. H., Drost, N., Van Der Ent, R. J., De Graaf, I. E., Hoch, J. M., &amp; De Jong, K. (2018). PCR-GLOBWB 2: a 5 arcmin global hydrological and water resources model. </w:t>
      </w:r>
      <w:r w:rsidRPr="00922ACF">
        <w:rPr>
          <w:i/>
        </w:rPr>
        <w:t>Geoscientific Model Development</w:t>
      </w:r>
      <w:r w:rsidRPr="00922ACF">
        <w:t>,</w:t>
      </w:r>
      <w:r w:rsidRPr="00922ACF">
        <w:rPr>
          <w:i/>
        </w:rPr>
        <w:t xml:space="preserve"> 11</w:t>
      </w:r>
      <w:r w:rsidRPr="00922ACF">
        <w:t xml:space="preserve">(6), 2429-2453. </w:t>
      </w:r>
      <w:hyperlink r:id="rId11" w:history="1">
        <w:r w:rsidRPr="00922ACF">
          <w:rPr>
            <w:rStyle w:val="Hyperlink"/>
          </w:rPr>
          <w:t>https://doi.org/10.5194/gmd-11-2429-2018</w:t>
        </w:r>
      </w:hyperlink>
      <w:r w:rsidRPr="00922ACF">
        <w:t xml:space="preserve"> </w:t>
      </w:r>
    </w:p>
    <w:p w14:paraId="5115856A" w14:textId="53A7608D" w:rsidR="00922ACF" w:rsidRPr="00922ACF" w:rsidRDefault="00922ACF" w:rsidP="00922ACF">
      <w:pPr>
        <w:pStyle w:val="EndNoteBibliography"/>
        <w:spacing w:after="0"/>
        <w:ind w:left="720" w:hanging="720"/>
      </w:pPr>
      <w:r w:rsidRPr="00922ACF">
        <w:t xml:space="preserve">Wittgenstein Centre for Demography and Global Human Capital. (2018). </w:t>
      </w:r>
      <w:r w:rsidRPr="00922ACF">
        <w:rPr>
          <w:i/>
        </w:rPr>
        <w:t>Wittgenstein Centre Data Explorer Version 2.0</w:t>
      </w:r>
      <w:r w:rsidRPr="00922ACF">
        <w:t xml:space="preserve">. Available at: </w:t>
      </w:r>
      <w:hyperlink r:id="rId12" w:history="1">
        <w:r w:rsidRPr="00922ACF">
          <w:rPr>
            <w:rStyle w:val="Hyperlink"/>
          </w:rPr>
          <w:t>http://www.wittgensteincentre.org/dataexplorer</w:t>
        </w:r>
      </w:hyperlink>
    </w:p>
    <w:p w14:paraId="282BA580" w14:textId="3A54BC41" w:rsidR="00922ACF" w:rsidRPr="00922ACF" w:rsidRDefault="00922ACF" w:rsidP="00922ACF">
      <w:pPr>
        <w:pStyle w:val="EndNoteBibliography"/>
        <w:ind w:left="720" w:hanging="720"/>
      </w:pPr>
      <w:r w:rsidRPr="00922ACF">
        <w:t xml:space="preserve">World Bank Group. (2023). </w:t>
      </w:r>
      <w:r w:rsidRPr="00922ACF">
        <w:rPr>
          <w:i/>
        </w:rPr>
        <w:t>Climate Change Knowledge Portal</w:t>
      </w:r>
      <w:r w:rsidRPr="00922ACF">
        <w:t xml:space="preserve">. </w:t>
      </w:r>
      <w:hyperlink r:id="rId13" w:history="1">
        <w:r w:rsidRPr="00922ACF">
          <w:rPr>
            <w:rStyle w:val="Hyperlink"/>
          </w:rPr>
          <w:t>https://climateknowledgeportal.worldbank.org/download-data</w:t>
        </w:r>
      </w:hyperlink>
      <w:r w:rsidRPr="00922ACF">
        <w:t xml:space="preserve"> </w:t>
      </w:r>
    </w:p>
    <w:p w14:paraId="1227828E" w14:textId="7FA2EB59" w:rsidR="00372622" w:rsidRDefault="00F0497F" w:rsidP="00880C61">
      <w:r>
        <w:fldChar w:fldCharType="end"/>
      </w:r>
    </w:p>
    <w:sectPr w:rsidR="00372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_author10&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etvv0fwxp2x4ee2pcpfxpb0w0eexxrtf90&quot;&gt;DGIS project-Saved-Saved-Converted&lt;record-ids&gt;&lt;item&gt;86&lt;/item&gt;&lt;item&gt;150&lt;/item&gt;&lt;item&gt;429&lt;/item&gt;&lt;item&gt;549&lt;/item&gt;&lt;item&gt;550&lt;/item&gt;&lt;item&gt;594&lt;/item&gt;&lt;item&gt;1811&lt;/item&gt;&lt;item&gt;1829&lt;/item&gt;&lt;item&gt;1924&lt;/item&gt;&lt;item&gt;1930&lt;/item&gt;&lt;/record-ids&gt;&lt;/item&gt;&lt;/Libraries&gt;"/>
  </w:docVars>
  <w:rsids>
    <w:rsidRoot w:val="00A347A9"/>
    <w:rsid w:val="00062C0B"/>
    <w:rsid w:val="00104AE6"/>
    <w:rsid w:val="001275BB"/>
    <w:rsid w:val="00147B82"/>
    <w:rsid w:val="00153B97"/>
    <w:rsid w:val="00161EAA"/>
    <w:rsid w:val="0017016A"/>
    <w:rsid w:val="00223375"/>
    <w:rsid w:val="002C514A"/>
    <w:rsid w:val="00300BAC"/>
    <w:rsid w:val="00337E0F"/>
    <w:rsid w:val="00372622"/>
    <w:rsid w:val="003759A5"/>
    <w:rsid w:val="005701A5"/>
    <w:rsid w:val="005D73E3"/>
    <w:rsid w:val="005E3218"/>
    <w:rsid w:val="00616C2C"/>
    <w:rsid w:val="006219FA"/>
    <w:rsid w:val="0067364C"/>
    <w:rsid w:val="00691F75"/>
    <w:rsid w:val="006A264B"/>
    <w:rsid w:val="00803EE2"/>
    <w:rsid w:val="008614EA"/>
    <w:rsid w:val="00880C61"/>
    <w:rsid w:val="008A3D76"/>
    <w:rsid w:val="009005B4"/>
    <w:rsid w:val="00922ACF"/>
    <w:rsid w:val="009635BE"/>
    <w:rsid w:val="00986365"/>
    <w:rsid w:val="009D4588"/>
    <w:rsid w:val="00A06B6A"/>
    <w:rsid w:val="00A13782"/>
    <w:rsid w:val="00A347A9"/>
    <w:rsid w:val="00A84CC3"/>
    <w:rsid w:val="00A86ED0"/>
    <w:rsid w:val="00AE752E"/>
    <w:rsid w:val="00AF2238"/>
    <w:rsid w:val="00B20593"/>
    <w:rsid w:val="00BC58B0"/>
    <w:rsid w:val="00BE7650"/>
    <w:rsid w:val="00C2164C"/>
    <w:rsid w:val="00C34503"/>
    <w:rsid w:val="00D72F56"/>
    <w:rsid w:val="00D91437"/>
    <w:rsid w:val="00E26D5C"/>
    <w:rsid w:val="00E3774E"/>
    <w:rsid w:val="00F04439"/>
    <w:rsid w:val="00F0497F"/>
    <w:rsid w:val="00F45FC2"/>
    <w:rsid w:val="00F72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0358"/>
  <w15:chartTrackingRefBased/>
  <w15:docId w15:val="{10F7C2EF-F044-498D-9748-B3DEEAD1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A9"/>
    <w:rPr>
      <w:kern w:val="0"/>
      <w14:ligatures w14:val="none"/>
    </w:rPr>
  </w:style>
  <w:style w:type="paragraph" w:styleId="Heading1">
    <w:name w:val="heading 1"/>
    <w:basedOn w:val="Normal"/>
    <w:next w:val="Normal"/>
    <w:link w:val="Heading1Char"/>
    <w:uiPriority w:val="9"/>
    <w:qFormat/>
    <w:rsid w:val="00A3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7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347A9"/>
    <w:rPr>
      <w:rFonts w:asciiTheme="majorHAnsi" w:eastAsiaTheme="majorEastAsia" w:hAnsiTheme="majorHAnsi" w:cstheme="majorBidi"/>
      <w:color w:val="2F5496" w:themeColor="accent1" w:themeShade="BF"/>
      <w:kern w:val="0"/>
      <w:sz w:val="26"/>
      <w:szCs w:val="26"/>
      <w14:ligatures w14:val="none"/>
    </w:rPr>
  </w:style>
  <w:style w:type="paragraph" w:styleId="Caption">
    <w:name w:val="caption"/>
    <w:basedOn w:val="Normal"/>
    <w:next w:val="Normal"/>
    <w:uiPriority w:val="35"/>
    <w:unhideWhenUsed/>
    <w:qFormat/>
    <w:rsid w:val="00A347A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347A9"/>
    <w:rPr>
      <w:sz w:val="16"/>
      <w:szCs w:val="16"/>
    </w:rPr>
  </w:style>
  <w:style w:type="paragraph" w:styleId="CommentText">
    <w:name w:val="annotation text"/>
    <w:basedOn w:val="Normal"/>
    <w:link w:val="CommentTextChar"/>
    <w:uiPriority w:val="99"/>
    <w:unhideWhenUsed/>
    <w:rsid w:val="00A347A9"/>
    <w:pPr>
      <w:spacing w:line="240" w:lineRule="auto"/>
    </w:pPr>
    <w:rPr>
      <w:sz w:val="20"/>
      <w:szCs w:val="20"/>
    </w:rPr>
  </w:style>
  <w:style w:type="character" w:customStyle="1" w:styleId="CommentTextChar">
    <w:name w:val="Comment Text Char"/>
    <w:basedOn w:val="DefaultParagraphFont"/>
    <w:link w:val="CommentText"/>
    <w:uiPriority w:val="99"/>
    <w:rsid w:val="00A347A9"/>
    <w:rPr>
      <w:kern w:val="0"/>
      <w:sz w:val="20"/>
      <w:szCs w:val="20"/>
      <w14:ligatures w14:val="none"/>
    </w:rPr>
  </w:style>
  <w:style w:type="table" w:styleId="TableGrid">
    <w:name w:val="Table Grid"/>
    <w:basedOn w:val="TableNormal"/>
    <w:uiPriority w:val="39"/>
    <w:rsid w:val="00A347A9"/>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2359"/>
    <w:rPr>
      <w:b/>
      <w:bCs/>
    </w:rPr>
  </w:style>
  <w:style w:type="character" w:customStyle="1" w:styleId="CommentSubjectChar">
    <w:name w:val="Comment Subject Char"/>
    <w:basedOn w:val="CommentTextChar"/>
    <w:link w:val="CommentSubject"/>
    <w:uiPriority w:val="99"/>
    <w:semiHidden/>
    <w:rsid w:val="00F72359"/>
    <w:rPr>
      <w:b/>
      <w:bCs/>
      <w:kern w:val="0"/>
      <w:sz w:val="20"/>
      <w:szCs w:val="20"/>
      <w14:ligatures w14:val="none"/>
    </w:rPr>
  </w:style>
  <w:style w:type="paragraph" w:styleId="Revision">
    <w:name w:val="Revision"/>
    <w:hidden/>
    <w:uiPriority w:val="99"/>
    <w:semiHidden/>
    <w:rsid w:val="00691F75"/>
    <w:pPr>
      <w:spacing w:after="0" w:line="240" w:lineRule="auto"/>
    </w:pPr>
    <w:rPr>
      <w:kern w:val="0"/>
      <w14:ligatures w14:val="none"/>
    </w:rPr>
  </w:style>
  <w:style w:type="paragraph" w:customStyle="1" w:styleId="EndNoteBibliographyTitle">
    <w:name w:val="EndNote Bibliography Title"/>
    <w:basedOn w:val="Normal"/>
    <w:link w:val="EndNoteBibliographyTitleChar"/>
    <w:rsid w:val="00F0497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0497F"/>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F0497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0497F"/>
    <w:rPr>
      <w:rFonts w:ascii="Calibri" w:hAnsi="Calibri" w:cs="Calibri"/>
      <w:noProof/>
      <w:kern w:val="0"/>
      <w:lang w:val="en-US"/>
      <w14:ligatures w14:val="none"/>
    </w:rPr>
  </w:style>
  <w:style w:type="character" w:styleId="Hyperlink">
    <w:name w:val="Hyperlink"/>
    <w:basedOn w:val="DefaultParagraphFont"/>
    <w:uiPriority w:val="99"/>
    <w:unhideWhenUsed/>
    <w:rsid w:val="00F0497F"/>
    <w:rPr>
      <w:color w:val="0563C1" w:themeColor="hyperlink"/>
      <w:u w:val="single"/>
    </w:rPr>
  </w:style>
  <w:style w:type="character" w:styleId="UnresolvedMention">
    <w:name w:val="Unresolved Mention"/>
    <w:basedOn w:val="DefaultParagraphFont"/>
    <w:uiPriority w:val="99"/>
    <w:semiHidden/>
    <w:unhideWhenUsed/>
    <w:rsid w:val="00F0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loenvcha.2017.11.014" TargetMode="External"/><Relationship Id="rId13" Type="http://schemas.openxmlformats.org/officeDocument/2006/relationships/hyperlink" Target="https://climateknowledgeportal.worldbank.org/download-data" TargetMode="External"/><Relationship Id="rId3" Type="http://schemas.openxmlformats.org/officeDocument/2006/relationships/settings" Target="settings.xml"/><Relationship Id="rId7" Type="http://schemas.openxmlformats.org/officeDocument/2006/relationships/hyperlink" Target="https://www.mdpi.com/2227-7390/10/8/1283" TargetMode="External"/><Relationship Id="rId12" Type="http://schemas.openxmlformats.org/officeDocument/2006/relationships/hyperlink" Target="http://www.wittgensteincentre.org/dataexplor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doi.org/10.5194/gmd-11-2429-201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1016/j.futures.2018.07.001" TargetMode="External"/><Relationship Id="rId4" Type="http://schemas.openxmlformats.org/officeDocument/2006/relationships/webSettings" Target="webSettings.xml"/><Relationship Id="rId9" Type="http://schemas.openxmlformats.org/officeDocument/2006/relationships/hyperlink" Target="https://doi.org/10.1016/j.ecolecon.2023.1077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98D1-E894-4F82-A6A3-9F2D014A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 S.P. de (Sophie)</dc:creator>
  <cp:keywords/>
  <dc:description/>
  <cp:lastModifiedBy>Sophie de Bruin</cp:lastModifiedBy>
  <cp:revision>3</cp:revision>
  <dcterms:created xsi:type="dcterms:W3CDTF">2024-08-30T14:07:00Z</dcterms:created>
  <dcterms:modified xsi:type="dcterms:W3CDTF">2024-08-30T14:08:00Z</dcterms:modified>
</cp:coreProperties>
</file>