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97CC" w14:textId="3B55B953" w:rsidR="00FE19D1" w:rsidRPr="007779AE" w:rsidRDefault="00FE19D1" w:rsidP="00410E51">
      <w:pPr>
        <w:pStyle w:val="EndNoteBibliography"/>
        <w:rPr>
          <w:lang w:val="en-GB"/>
        </w:rPr>
      </w:pPr>
      <w:bookmarkStart w:id="0" w:name="_Toc52378691"/>
      <w:r w:rsidRPr="00470897">
        <w:rPr>
          <w:rStyle w:val="Heading1Char"/>
        </w:rPr>
        <w:t xml:space="preserve">Appendix </w:t>
      </w:r>
      <w:r w:rsidR="00403A47">
        <w:rPr>
          <w:rStyle w:val="Heading1Char"/>
        </w:rPr>
        <w:t>B</w:t>
      </w:r>
      <w:r w:rsidRPr="00470897">
        <w:rPr>
          <w:rStyle w:val="Heading1Char"/>
        </w:rPr>
        <w:t>. Resilience attributes</w:t>
      </w:r>
      <w:bookmarkEnd w:id="0"/>
    </w:p>
    <w:p w14:paraId="68D34500" w14:textId="012868B9" w:rsidR="00FE19D1" w:rsidRPr="00F50C19" w:rsidRDefault="00FE19D1" w:rsidP="00FE19D1">
      <w:pPr>
        <w:rPr>
          <w:lang w:val="en-GB"/>
        </w:rPr>
      </w:pPr>
      <w:r w:rsidRPr="00F50C19">
        <w:rPr>
          <w:lang w:val="en-GB"/>
        </w:rPr>
        <w:t xml:space="preserve">In </w:t>
      </w:r>
      <w:proofErr w:type="spellStart"/>
      <w:r w:rsidRPr="00F50C19">
        <w:rPr>
          <w:lang w:val="en-GB"/>
        </w:rPr>
        <w:t>FoPIA</w:t>
      </w:r>
      <w:proofErr w:type="spellEnd"/>
      <w:r w:rsidRPr="00F50C19">
        <w:rPr>
          <w:lang w:val="en-GB"/>
        </w:rPr>
        <w:t>-</w:t>
      </w:r>
      <w:r w:rsidRPr="00BB1413">
        <w:rPr>
          <w:lang w:val="en-GB"/>
        </w:rPr>
        <w:t xml:space="preserve">SURE-Farm </w:t>
      </w:r>
      <w:r w:rsidR="0096511F">
        <w:rPr>
          <w:lang w:val="en-GB"/>
        </w:rPr>
        <w:t>I</w:t>
      </w:r>
      <w:r w:rsidR="00642EFF" w:rsidRPr="00BB1413">
        <w:rPr>
          <w:lang w:val="en-GB"/>
        </w:rPr>
        <w:t xml:space="preserve"> </w:t>
      </w:r>
      <w:r w:rsidRPr="00BB1413">
        <w:rPr>
          <w:lang w:val="en-GB"/>
        </w:rPr>
        <w:t xml:space="preserve">(Paas et al., 2019) the list with original </w:t>
      </w:r>
      <w:r w:rsidR="001777BD">
        <w:rPr>
          <w:lang w:val="en-GB"/>
        </w:rPr>
        <w:t xml:space="preserve">resilience </w:t>
      </w:r>
      <w:r w:rsidRPr="00BB1413">
        <w:rPr>
          <w:lang w:val="en-GB"/>
        </w:rPr>
        <w:t xml:space="preserve">attributes as proposed by </w:t>
      </w:r>
      <w:proofErr w:type="spellStart"/>
      <w:r w:rsidRPr="00BB1413">
        <w:rPr>
          <w:lang w:val="en-GB"/>
        </w:rPr>
        <w:t>Cabe</w:t>
      </w:r>
      <w:r w:rsidRPr="005A0810">
        <w:rPr>
          <w:lang w:val="en-GB"/>
        </w:rPr>
        <w:t>ll</w:t>
      </w:r>
      <w:proofErr w:type="spellEnd"/>
      <w:r w:rsidR="00642EFF" w:rsidRPr="005A0810">
        <w:rPr>
          <w:lang w:val="en-GB"/>
        </w:rPr>
        <w:t xml:space="preserve"> &amp; </w:t>
      </w:r>
      <w:proofErr w:type="spellStart"/>
      <w:r w:rsidR="00642EFF" w:rsidRPr="005A0810">
        <w:rPr>
          <w:lang w:val="en-GB"/>
        </w:rPr>
        <w:t>Oelofse</w:t>
      </w:r>
      <w:proofErr w:type="spellEnd"/>
      <w:r w:rsidR="00642EFF" w:rsidRPr="005A0810">
        <w:rPr>
          <w:lang w:val="en-GB"/>
        </w:rPr>
        <w:t xml:space="preserve"> (2012) wa</w:t>
      </w:r>
      <w:r w:rsidRPr="005A0810">
        <w:rPr>
          <w:lang w:val="en-GB"/>
        </w:rPr>
        <w:t xml:space="preserve">s extended by splitting up original attributes (italic in Table </w:t>
      </w:r>
      <w:r w:rsidR="00403A47">
        <w:rPr>
          <w:lang w:val="en-GB"/>
        </w:rPr>
        <w:t>B</w:t>
      </w:r>
      <w:r w:rsidRPr="005A0810">
        <w:rPr>
          <w:lang w:val="en-GB"/>
        </w:rPr>
        <w:t xml:space="preserve">1) and adding new </w:t>
      </w:r>
      <w:r w:rsidR="00A8338A">
        <w:rPr>
          <w:lang w:val="en-GB"/>
        </w:rPr>
        <w:t xml:space="preserve">resilience </w:t>
      </w:r>
      <w:r w:rsidRPr="005A0810">
        <w:rPr>
          <w:lang w:val="en-GB"/>
        </w:rPr>
        <w:t xml:space="preserve">attributes and explanations (bold in Table </w:t>
      </w:r>
      <w:r w:rsidR="00403A47">
        <w:rPr>
          <w:lang w:val="en-GB"/>
        </w:rPr>
        <w:t>B</w:t>
      </w:r>
      <w:r w:rsidRPr="005A0810">
        <w:rPr>
          <w:lang w:val="en-GB"/>
        </w:rPr>
        <w:t xml:space="preserve">1) based on the research focus and the resilience research framework of SURE-Farm (Meuwissen et al. 2019). </w:t>
      </w:r>
      <w:r w:rsidRPr="00743E5F">
        <w:rPr>
          <w:lang w:val="en-GB"/>
        </w:rPr>
        <w:t xml:space="preserve">For the sake of workability during the </w:t>
      </w:r>
      <w:proofErr w:type="spellStart"/>
      <w:r w:rsidRPr="00743E5F">
        <w:rPr>
          <w:lang w:val="en-GB"/>
        </w:rPr>
        <w:t>FoPIA</w:t>
      </w:r>
      <w:proofErr w:type="spellEnd"/>
      <w:r w:rsidRPr="00743E5F">
        <w:rPr>
          <w:lang w:val="en-GB"/>
        </w:rPr>
        <w:t>-</w:t>
      </w:r>
      <w:r w:rsidRPr="004A3206">
        <w:rPr>
          <w:lang w:val="en-GB"/>
        </w:rPr>
        <w:t>SURE-Farm</w:t>
      </w:r>
      <w:r w:rsidRPr="00F50C19">
        <w:rPr>
          <w:lang w:val="en-GB"/>
        </w:rPr>
        <w:t xml:space="preserve"> </w:t>
      </w:r>
      <w:r w:rsidR="00A8338A">
        <w:rPr>
          <w:lang w:val="en-GB"/>
        </w:rPr>
        <w:t xml:space="preserve">I and </w:t>
      </w:r>
      <w:r w:rsidR="0096511F">
        <w:rPr>
          <w:lang w:val="en-GB"/>
        </w:rPr>
        <w:t>II</w:t>
      </w:r>
      <w:r w:rsidRPr="00F50C19">
        <w:rPr>
          <w:lang w:val="en-GB"/>
        </w:rPr>
        <w:t xml:space="preserve"> workshops, only 13 attributes were selected to be evaluated in the workshops (in green). </w:t>
      </w:r>
      <w:r w:rsidR="001068EA">
        <w:rPr>
          <w:lang w:val="en-GB"/>
        </w:rPr>
        <w:t xml:space="preserve">These covered </w:t>
      </w:r>
      <w:r w:rsidR="00EB0EE1">
        <w:rPr>
          <w:lang w:val="en-GB"/>
        </w:rPr>
        <w:t>all processes and resilience principles (see last columns)</w:t>
      </w:r>
      <w:r w:rsidR="001777BD">
        <w:rPr>
          <w:lang w:val="en-GB"/>
        </w:rPr>
        <w:t>, and some overlap was assumed with the other 9</w:t>
      </w:r>
      <w:r w:rsidR="00C7097B">
        <w:rPr>
          <w:lang w:val="en-GB"/>
        </w:rPr>
        <w:t xml:space="preserve"> resilience attributes.</w:t>
      </w:r>
      <w:r w:rsidR="00EB0EE1">
        <w:rPr>
          <w:lang w:val="en-GB"/>
        </w:rPr>
        <w:t xml:space="preserve"> </w:t>
      </w:r>
      <w:r w:rsidR="00642EFF" w:rsidRPr="00F50C19">
        <w:rPr>
          <w:lang w:val="en-GB"/>
        </w:rPr>
        <w:t xml:space="preserve">The other 9 </w:t>
      </w:r>
      <w:r w:rsidR="00E32E9D">
        <w:rPr>
          <w:lang w:val="en-GB"/>
        </w:rPr>
        <w:t xml:space="preserve">(in red) </w:t>
      </w:r>
      <w:r w:rsidR="00642EFF" w:rsidRPr="00F50C19">
        <w:rPr>
          <w:lang w:val="en-GB"/>
        </w:rPr>
        <w:t xml:space="preserve">were also considered when assessing the contribution of strategies to </w:t>
      </w:r>
      <w:r w:rsidR="009918CF">
        <w:rPr>
          <w:lang w:val="en-GB"/>
        </w:rPr>
        <w:t xml:space="preserve">resilience </w:t>
      </w:r>
      <w:r w:rsidR="00642EFF" w:rsidRPr="00F50C19">
        <w:rPr>
          <w:lang w:val="en-GB"/>
        </w:rPr>
        <w:t>attributes</w:t>
      </w:r>
      <w:r w:rsidR="0056626C">
        <w:rPr>
          <w:lang w:val="en-GB"/>
        </w:rPr>
        <w:t xml:space="preserve">, as this research-based assessment aimed </w:t>
      </w:r>
      <w:r w:rsidR="00041FE5">
        <w:rPr>
          <w:lang w:val="en-GB"/>
        </w:rPr>
        <w:t xml:space="preserve">to assess the most important resilience attributes, and hence </w:t>
      </w:r>
      <w:r w:rsidR="00287225">
        <w:rPr>
          <w:lang w:val="en-GB"/>
        </w:rPr>
        <w:t>starting with a full list was appropriate</w:t>
      </w:r>
      <w:r w:rsidR="00642EFF" w:rsidRPr="00F50C19">
        <w:rPr>
          <w:lang w:val="en-GB"/>
        </w:rPr>
        <w:t>.</w:t>
      </w:r>
    </w:p>
    <w:p w14:paraId="0EEB53DA" w14:textId="47195E39" w:rsidR="00FE19D1" w:rsidRPr="00F50C19" w:rsidRDefault="00FE19D1" w:rsidP="00FE19D1">
      <w:pPr>
        <w:rPr>
          <w:sz w:val="20"/>
          <w:szCs w:val="20"/>
          <w:lang w:val="en-GB"/>
        </w:rPr>
      </w:pPr>
      <w:r w:rsidRPr="00F50C19">
        <w:rPr>
          <w:sz w:val="20"/>
          <w:szCs w:val="20"/>
          <w:lang w:val="en-GB"/>
        </w:rPr>
        <w:t xml:space="preserve">Table </w:t>
      </w:r>
      <w:r w:rsidR="00403A47">
        <w:rPr>
          <w:sz w:val="20"/>
          <w:szCs w:val="20"/>
          <w:lang w:val="en-GB"/>
        </w:rPr>
        <w:t>B</w:t>
      </w:r>
      <w:r w:rsidRPr="00F50C19">
        <w:rPr>
          <w:sz w:val="20"/>
          <w:szCs w:val="20"/>
          <w:lang w:val="en-GB"/>
        </w:rPr>
        <w:t>1 </w:t>
      </w:r>
      <w:r w:rsidR="00636354" w:rsidRPr="00F50C19">
        <w:rPr>
          <w:sz w:val="20"/>
          <w:szCs w:val="20"/>
          <w:lang w:val="en-GB"/>
        </w:rPr>
        <w:t>.</w:t>
      </w:r>
      <w:r w:rsidRPr="00F50C19">
        <w:rPr>
          <w:sz w:val="20"/>
          <w:szCs w:val="20"/>
          <w:lang w:val="en-GB"/>
        </w:rPr>
        <w:t xml:space="preserve"> </w:t>
      </w:r>
      <w:r w:rsidR="0096511F">
        <w:rPr>
          <w:sz w:val="20"/>
          <w:szCs w:val="20"/>
          <w:lang w:val="en-GB"/>
        </w:rPr>
        <w:t>List of resilience a</w:t>
      </w:r>
      <w:r w:rsidRPr="00F50C19">
        <w:rPr>
          <w:sz w:val="20"/>
          <w:szCs w:val="20"/>
          <w:lang w:val="en-GB"/>
        </w:rPr>
        <w:t>ttribute</w:t>
      </w:r>
      <w:r w:rsidR="0096511F">
        <w:rPr>
          <w:sz w:val="20"/>
          <w:szCs w:val="20"/>
          <w:lang w:val="en-GB"/>
        </w:rPr>
        <w:t>s</w:t>
      </w:r>
      <w:r w:rsidRPr="00F50C19">
        <w:rPr>
          <w:sz w:val="20"/>
          <w:szCs w:val="20"/>
          <w:lang w:val="en-GB"/>
        </w:rPr>
        <w:t xml:space="preserve"> </w:t>
      </w:r>
      <w:r w:rsidR="0096511F">
        <w:rPr>
          <w:sz w:val="20"/>
          <w:szCs w:val="20"/>
          <w:lang w:val="en-GB"/>
        </w:rPr>
        <w:t>(</w:t>
      </w:r>
      <w:r w:rsidRPr="00F50C19">
        <w:rPr>
          <w:sz w:val="20"/>
          <w:szCs w:val="20"/>
          <w:lang w:val="en-GB"/>
        </w:rPr>
        <w:t xml:space="preserve">based on </w:t>
      </w:r>
      <w:proofErr w:type="spellStart"/>
      <w:r w:rsidRPr="00F50C19">
        <w:rPr>
          <w:sz w:val="20"/>
          <w:szCs w:val="20"/>
          <w:lang w:val="en-GB"/>
        </w:rPr>
        <w:t>Cabell</w:t>
      </w:r>
      <w:proofErr w:type="spellEnd"/>
      <w:r w:rsidRPr="00F50C19">
        <w:rPr>
          <w:sz w:val="20"/>
          <w:szCs w:val="20"/>
          <w:lang w:val="en-GB"/>
        </w:rPr>
        <w:t xml:space="preserve"> &amp; </w:t>
      </w:r>
      <w:proofErr w:type="spellStart"/>
      <w:r w:rsidRPr="00F50C19">
        <w:rPr>
          <w:sz w:val="20"/>
          <w:szCs w:val="20"/>
          <w:lang w:val="en-GB"/>
        </w:rPr>
        <w:t>Oelofse</w:t>
      </w:r>
      <w:proofErr w:type="spellEnd"/>
      <w:r w:rsidRPr="00F50C19">
        <w:rPr>
          <w:sz w:val="20"/>
          <w:szCs w:val="20"/>
          <w:lang w:val="en-GB"/>
        </w:rPr>
        <w:t xml:space="preserve"> (2012) and Meuwissen et al. (2019)</w:t>
      </w:r>
      <w:r w:rsidR="0096511F">
        <w:rPr>
          <w:sz w:val="20"/>
          <w:szCs w:val="20"/>
          <w:lang w:val="en-GB"/>
        </w:rPr>
        <w:t>)</w:t>
      </w:r>
      <w:r w:rsidRPr="00F50C19">
        <w:rPr>
          <w:sz w:val="20"/>
          <w:szCs w:val="20"/>
          <w:lang w:val="en-GB"/>
        </w:rPr>
        <w:t xml:space="preserve">. Italic font indicates that these attributes are split up with reference to the original attribute in </w:t>
      </w:r>
      <w:proofErr w:type="spellStart"/>
      <w:r w:rsidRPr="00F50C19">
        <w:rPr>
          <w:sz w:val="20"/>
          <w:szCs w:val="20"/>
          <w:lang w:val="en-GB"/>
        </w:rPr>
        <w:t>Cabell</w:t>
      </w:r>
      <w:proofErr w:type="spellEnd"/>
      <w:r w:rsidRPr="00F50C19">
        <w:rPr>
          <w:sz w:val="20"/>
          <w:szCs w:val="20"/>
          <w:lang w:val="en-GB"/>
        </w:rPr>
        <w:t xml:space="preserve"> &amp; </w:t>
      </w:r>
      <w:proofErr w:type="spellStart"/>
      <w:r w:rsidRPr="00F50C19">
        <w:rPr>
          <w:sz w:val="20"/>
          <w:szCs w:val="20"/>
          <w:lang w:val="en-GB"/>
        </w:rPr>
        <w:t>Oelofse</w:t>
      </w:r>
      <w:proofErr w:type="spellEnd"/>
      <w:r w:rsidRPr="00F50C19">
        <w:rPr>
          <w:sz w:val="20"/>
          <w:szCs w:val="20"/>
          <w:lang w:val="en-GB"/>
        </w:rPr>
        <w:t xml:space="preserve"> (2012). Bold font indicates that </w:t>
      </w:r>
      <w:r w:rsidR="0096511F">
        <w:rPr>
          <w:sz w:val="20"/>
          <w:szCs w:val="20"/>
          <w:lang w:val="en-GB"/>
        </w:rPr>
        <w:t xml:space="preserve">attributes and </w:t>
      </w:r>
      <w:r w:rsidRPr="00F50C19">
        <w:rPr>
          <w:sz w:val="20"/>
          <w:szCs w:val="20"/>
          <w:lang w:val="en-GB"/>
        </w:rPr>
        <w:t xml:space="preserve">information </w:t>
      </w:r>
      <w:r w:rsidR="0096511F">
        <w:rPr>
          <w:sz w:val="20"/>
          <w:szCs w:val="20"/>
          <w:lang w:val="en-GB"/>
        </w:rPr>
        <w:t xml:space="preserve">are added </w:t>
      </w:r>
      <w:r w:rsidRPr="00F50C19">
        <w:rPr>
          <w:sz w:val="20"/>
          <w:szCs w:val="20"/>
          <w:lang w:val="en-GB"/>
        </w:rPr>
        <w:t xml:space="preserve">based on Meuwissen et al. (2019). Green font indicates that these attributes are selected to be evaluated during the </w:t>
      </w:r>
      <w:proofErr w:type="spellStart"/>
      <w:r w:rsidRPr="00F50C19">
        <w:rPr>
          <w:sz w:val="20"/>
          <w:szCs w:val="20"/>
          <w:lang w:val="en-GB"/>
        </w:rPr>
        <w:t>FoPIA</w:t>
      </w:r>
      <w:proofErr w:type="spellEnd"/>
      <w:r w:rsidRPr="00F50C19">
        <w:rPr>
          <w:sz w:val="20"/>
          <w:szCs w:val="20"/>
          <w:lang w:val="en-GB"/>
        </w:rPr>
        <w:t xml:space="preserve">-SURE-Farm </w:t>
      </w:r>
      <w:r w:rsidR="0096511F">
        <w:rPr>
          <w:sz w:val="20"/>
          <w:szCs w:val="20"/>
          <w:lang w:val="en-GB"/>
        </w:rPr>
        <w:t>I</w:t>
      </w:r>
      <w:r w:rsidRPr="00F50C19">
        <w:rPr>
          <w:sz w:val="20"/>
          <w:szCs w:val="20"/>
          <w:lang w:val="en-GB"/>
        </w:rPr>
        <w:t xml:space="preserve">  workshops.</w:t>
      </w:r>
      <w:r w:rsidR="00636354" w:rsidRPr="00F50C19">
        <w:rPr>
          <w:sz w:val="20"/>
          <w:szCs w:val="20"/>
          <w:lang w:val="en-GB"/>
        </w:rPr>
        <w:t xml:space="preserve"> Source: Paas et al. (2019).</w:t>
      </w:r>
      <w:r w:rsidR="001D16FA">
        <w:rPr>
          <w:sz w:val="20"/>
          <w:szCs w:val="20"/>
          <w:lang w:val="en-GB"/>
        </w:rPr>
        <w:t xml:space="preserve"> See also Meuwissen et al. (2022) </w:t>
      </w:r>
      <w:r w:rsidR="00FB18D4">
        <w:rPr>
          <w:sz w:val="20"/>
          <w:szCs w:val="20"/>
          <w:lang w:val="en-GB"/>
        </w:rPr>
        <w:t>for shorter explanations.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843"/>
        <w:gridCol w:w="2268"/>
        <w:gridCol w:w="1701"/>
        <w:gridCol w:w="1276"/>
        <w:gridCol w:w="1134"/>
      </w:tblGrid>
      <w:tr w:rsidR="006F38FF" w:rsidRPr="00F50C19" w14:paraId="1240C1D5" w14:textId="77D6E255" w:rsidTr="006C0B7E">
        <w:trPr>
          <w:trHeight w:val="375"/>
        </w:trPr>
        <w:tc>
          <w:tcPr>
            <w:tcW w:w="1271" w:type="dxa"/>
            <w:shd w:val="clear" w:color="auto" w:fill="auto"/>
            <w:hideMark/>
          </w:tcPr>
          <w:p w14:paraId="0C0AED51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Resilience attribute</w:t>
            </w:r>
          </w:p>
        </w:tc>
        <w:tc>
          <w:tcPr>
            <w:tcW w:w="1843" w:type="dxa"/>
            <w:shd w:val="clear" w:color="auto" w:fill="auto"/>
            <w:hideMark/>
          </w:tcPr>
          <w:p w14:paraId="1A3EE783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Definition</w:t>
            </w:r>
          </w:p>
        </w:tc>
        <w:tc>
          <w:tcPr>
            <w:tcW w:w="2268" w:type="dxa"/>
            <w:shd w:val="clear" w:color="auto" w:fill="auto"/>
            <w:hideMark/>
          </w:tcPr>
          <w:p w14:paraId="7A445112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Implications</w:t>
            </w:r>
          </w:p>
        </w:tc>
        <w:tc>
          <w:tcPr>
            <w:tcW w:w="1701" w:type="dxa"/>
            <w:shd w:val="clear" w:color="auto" w:fill="auto"/>
            <w:hideMark/>
          </w:tcPr>
          <w:p w14:paraId="29E7207E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Characteristics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D64C7B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Related to SURE-Farm process</w:t>
            </w:r>
          </w:p>
        </w:tc>
        <w:tc>
          <w:tcPr>
            <w:tcW w:w="1134" w:type="dxa"/>
          </w:tcPr>
          <w:p w14:paraId="09B5CD6B" w14:textId="14837DC0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7779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 xml:space="preserve">Related to general resilience </w:t>
            </w:r>
            <w:r w:rsidR="0047089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principles</w:t>
            </w:r>
          </w:p>
        </w:tc>
      </w:tr>
      <w:tr w:rsidR="006F38FF" w:rsidRPr="00F50C19" w14:paraId="14ECB1D2" w14:textId="1E964323" w:rsidTr="006C0B7E">
        <w:trPr>
          <w:trHeight w:val="1593"/>
        </w:trPr>
        <w:tc>
          <w:tcPr>
            <w:tcW w:w="1271" w:type="dxa"/>
            <w:shd w:val="clear" w:color="auto" w:fill="auto"/>
            <w:hideMark/>
          </w:tcPr>
          <w:p w14:paraId="5958D63A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>Reasonably profitable</w:t>
            </w:r>
          </w:p>
        </w:tc>
        <w:tc>
          <w:tcPr>
            <w:tcW w:w="1843" w:type="dxa"/>
            <w:shd w:val="clear" w:color="auto" w:fill="auto"/>
            <w:hideMark/>
          </w:tcPr>
          <w:p w14:paraId="401F64B5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</w:pPr>
            <w:r w:rsidRPr="005A0810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>Persons and organizations in the farming system are able to make a livelihood and save money without relying on subsidies or secondary employment</w:t>
            </w:r>
          </w:p>
        </w:tc>
        <w:tc>
          <w:tcPr>
            <w:tcW w:w="2268" w:type="dxa"/>
            <w:shd w:val="clear" w:color="auto" w:fill="auto"/>
            <w:hideMark/>
          </w:tcPr>
          <w:p w14:paraId="0F675457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</w:pPr>
            <w:r w:rsidRPr="004A3206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>Being reasonably profitable allows participants in</w:t>
            </w:r>
            <w:r w:rsidRPr="00F50C19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 xml:space="preserve"> the system to invest in the future; this adds buffering capacity, flexibility, and builds wealth that can be tapped into following release</w:t>
            </w:r>
          </w:p>
        </w:tc>
        <w:tc>
          <w:tcPr>
            <w:tcW w:w="1701" w:type="dxa"/>
            <w:shd w:val="clear" w:color="auto" w:fill="auto"/>
            <w:hideMark/>
          </w:tcPr>
          <w:p w14:paraId="0A1B4641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 xml:space="preserve">Farmers and farm workers earn a </w:t>
            </w:r>
            <w:proofErr w:type="spellStart"/>
            <w:r w:rsidRPr="00F50C19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>livable</w:t>
            </w:r>
            <w:proofErr w:type="spellEnd"/>
            <w:r w:rsidRPr="00F50C19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 xml:space="preserve"> wage; agriculture sector does not rely on distortionary subsidies</w:t>
            </w:r>
          </w:p>
        </w:tc>
        <w:tc>
          <w:tcPr>
            <w:tcW w:w="1276" w:type="dxa"/>
            <w:shd w:val="clear" w:color="auto" w:fill="auto"/>
            <w:hideMark/>
          </w:tcPr>
          <w:p w14:paraId="5362EB60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>Agricultural production</w:t>
            </w:r>
          </w:p>
        </w:tc>
        <w:tc>
          <w:tcPr>
            <w:tcW w:w="1134" w:type="dxa"/>
          </w:tcPr>
          <w:p w14:paraId="059A5136" w14:textId="163C92A2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</w:pPr>
            <w:r w:rsidRPr="007779AE">
              <w:rPr>
                <w:rFonts w:ascii="Calibri" w:hAnsi="Calibri" w:cs="Calibri"/>
                <w:color w:val="375623"/>
                <w:sz w:val="18"/>
                <w:szCs w:val="18"/>
                <w:lang w:val="en-GB"/>
              </w:rPr>
              <w:t>System reserves</w:t>
            </w:r>
          </w:p>
        </w:tc>
      </w:tr>
      <w:tr w:rsidR="006F38FF" w:rsidRPr="00F50C19" w14:paraId="046F5AAF" w14:textId="0C2A40A3" w:rsidTr="006C0B7E">
        <w:trPr>
          <w:trHeight w:val="1560"/>
        </w:trPr>
        <w:tc>
          <w:tcPr>
            <w:tcW w:w="1271" w:type="dxa"/>
            <w:shd w:val="clear" w:color="auto" w:fill="auto"/>
            <w:hideMark/>
          </w:tcPr>
          <w:p w14:paraId="576E8700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 xml:space="preserve">Coupled with local and natural capital </w:t>
            </w:r>
            <w:r w:rsidRPr="005A0810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>(production)</w:t>
            </w:r>
          </w:p>
        </w:tc>
        <w:tc>
          <w:tcPr>
            <w:tcW w:w="1843" w:type="dxa"/>
            <w:shd w:val="clear" w:color="auto" w:fill="auto"/>
            <w:hideMark/>
          </w:tcPr>
          <w:p w14:paraId="463DF04E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</w:pPr>
            <w:r w:rsidRPr="005A0810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 xml:space="preserve">The system functions as much as possible within the means of the </w:t>
            </w:r>
            <w:proofErr w:type="spellStart"/>
            <w:r w:rsidRPr="005A0810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>bioregionally</w:t>
            </w:r>
            <w:proofErr w:type="spellEnd"/>
            <w:r w:rsidRPr="005A0810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 xml:space="preserve"> available natural resource base and ecosystem services</w:t>
            </w:r>
          </w:p>
        </w:tc>
        <w:tc>
          <w:tcPr>
            <w:tcW w:w="2268" w:type="dxa"/>
            <w:shd w:val="clear" w:color="auto" w:fill="auto"/>
            <w:hideMark/>
          </w:tcPr>
          <w:p w14:paraId="5138A9FD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</w:pPr>
            <w:r w:rsidRPr="005A0810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>Responsible use of local resources enco</w:t>
            </w:r>
            <w:r w:rsidRPr="004A3206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>urages a system to live within its means; this creates an agroecosystem that recycl</w:t>
            </w:r>
            <w:r w:rsidRPr="00F50C19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>es waste, relies on healthy soil, and conserves water</w:t>
            </w:r>
          </w:p>
        </w:tc>
        <w:tc>
          <w:tcPr>
            <w:tcW w:w="1701" w:type="dxa"/>
            <w:shd w:val="clear" w:color="auto" w:fill="auto"/>
            <w:hideMark/>
          </w:tcPr>
          <w:p w14:paraId="05DE3DF5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>Builds or maintains soil fertility, recharges water resources, little need to import nutrients or export waste</w:t>
            </w:r>
          </w:p>
        </w:tc>
        <w:tc>
          <w:tcPr>
            <w:tcW w:w="1276" w:type="dxa"/>
            <w:shd w:val="clear" w:color="auto" w:fill="auto"/>
            <w:hideMark/>
          </w:tcPr>
          <w:p w14:paraId="39FB9AD3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>Agricultural production</w:t>
            </w:r>
          </w:p>
        </w:tc>
        <w:tc>
          <w:tcPr>
            <w:tcW w:w="1134" w:type="dxa"/>
          </w:tcPr>
          <w:p w14:paraId="4BFE73A6" w14:textId="2CD21C88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</w:pPr>
            <w:r w:rsidRPr="007779AE">
              <w:rPr>
                <w:rFonts w:ascii="Calibri" w:hAnsi="Calibri" w:cs="Calibri"/>
                <w:color w:val="375623"/>
                <w:sz w:val="18"/>
                <w:szCs w:val="18"/>
                <w:lang w:val="en-GB"/>
              </w:rPr>
              <w:t>System reserves</w:t>
            </w:r>
          </w:p>
        </w:tc>
      </w:tr>
      <w:tr w:rsidR="006F38FF" w:rsidRPr="00F50C19" w14:paraId="6A966E08" w14:textId="7BA77740" w:rsidTr="006C0B7E">
        <w:trPr>
          <w:trHeight w:val="972"/>
        </w:trPr>
        <w:tc>
          <w:tcPr>
            <w:tcW w:w="1271" w:type="dxa"/>
            <w:shd w:val="clear" w:color="auto" w:fill="auto"/>
            <w:hideMark/>
          </w:tcPr>
          <w:p w14:paraId="3EF6B0BC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i/>
                <w:iCs/>
                <w:color w:val="375623"/>
                <w:sz w:val="18"/>
                <w:szCs w:val="18"/>
                <w:lang w:val="en-GB" w:eastAsia="nl-NL"/>
              </w:rPr>
              <w:t>Functional diversity</w:t>
            </w:r>
          </w:p>
        </w:tc>
        <w:tc>
          <w:tcPr>
            <w:tcW w:w="1843" w:type="dxa"/>
            <w:shd w:val="clear" w:color="auto" w:fill="auto"/>
            <w:hideMark/>
          </w:tcPr>
          <w:p w14:paraId="18E6E8E0" w14:textId="766E569A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375623"/>
                <w:sz w:val="18"/>
                <w:szCs w:val="18"/>
                <w:lang w:val="en-GB" w:eastAsia="nl-NL"/>
              </w:rPr>
            </w:pPr>
            <w:r w:rsidRPr="005A0810">
              <w:rPr>
                <w:rFonts w:ascii="Calibri" w:eastAsia="Times New Roman" w:hAnsi="Calibri" w:cs="Times New Roman"/>
                <w:i/>
                <w:iCs/>
                <w:color w:val="375623"/>
                <w:sz w:val="18"/>
                <w:szCs w:val="18"/>
                <w:lang w:val="en-GB" w:eastAsia="nl-NL"/>
              </w:rPr>
              <w:t>Functional diversity is the variety of (ecosystem) services that components provide to the system</w:t>
            </w:r>
          </w:p>
        </w:tc>
        <w:tc>
          <w:tcPr>
            <w:tcW w:w="2268" w:type="dxa"/>
            <w:shd w:val="clear" w:color="auto" w:fill="auto"/>
            <w:hideMark/>
          </w:tcPr>
          <w:p w14:paraId="6D80A546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375623"/>
                <w:sz w:val="18"/>
                <w:szCs w:val="18"/>
                <w:lang w:val="en-GB" w:eastAsia="nl-NL"/>
              </w:rPr>
            </w:pPr>
            <w:r w:rsidRPr="005A0810">
              <w:rPr>
                <w:rFonts w:ascii="Calibri" w:eastAsia="Times New Roman" w:hAnsi="Calibri" w:cs="Times New Roman"/>
                <w:i/>
                <w:iCs/>
                <w:color w:val="375623"/>
                <w:sz w:val="18"/>
                <w:szCs w:val="18"/>
                <w:lang w:val="en-GB" w:eastAsia="nl-NL"/>
              </w:rPr>
              <w:t>Diversity buffers against perturbations (insurance) and provides seeds of renewal following disturbanc</w:t>
            </w:r>
            <w:r w:rsidRPr="004A3206">
              <w:rPr>
                <w:rFonts w:ascii="Calibri" w:eastAsia="Times New Roman" w:hAnsi="Calibri" w:cs="Times New Roman"/>
                <w:i/>
                <w:iCs/>
                <w:color w:val="375623"/>
                <w:sz w:val="18"/>
                <w:szCs w:val="18"/>
                <w:lang w:val="en-GB" w:eastAsia="nl-NL"/>
              </w:rPr>
              <w:t>e</w:t>
            </w:r>
          </w:p>
        </w:tc>
        <w:tc>
          <w:tcPr>
            <w:tcW w:w="1701" w:type="dxa"/>
            <w:shd w:val="clear" w:color="auto" w:fill="auto"/>
            <w:hideMark/>
          </w:tcPr>
          <w:p w14:paraId="7B516EB4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i/>
                <w:iCs/>
                <w:color w:val="375623"/>
                <w:sz w:val="18"/>
                <w:szCs w:val="18"/>
                <w:lang w:val="en-GB" w:eastAsia="nl-NL"/>
              </w:rPr>
              <w:t>Diversity of inputs, outputs, income sources, markets, etc.</w:t>
            </w:r>
          </w:p>
        </w:tc>
        <w:tc>
          <w:tcPr>
            <w:tcW w:w="1276" w:type="dxa"/>
            <w:shd w:val="clear" w:color="auto" w:fill="auto"/>
            <w:hideMark/>
          </w:tcPr>
          <w:p w14:paraId="7E10EE64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i/>
                <w:iCs/>
                <w:color w:val="375623"/>
                <w:sz w:val="18"/>
                <w:szCs w:val="18"/>
                <w:lang w:val="en-GB" w:eastAsia="nl-NL"/>
              </w:rPr>
              <w:t>Risk management</w:t>
            </w:r>
          </w:p>
        </w:tc>
        <w:tc>
          <w:tcPr>
            <w:tcW w:w="1134" w:type="dxa"/>
          </w:tcPr>
          <w:p w14:paraId="6296CB2F" w14:textId="139D526B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375623"/>
                <w:sz w:val="18"/>
                <w:szCs w:val="18"/>
                <w:lang w:val="en-GB" w:eastAsia="nl-NL"/>
              </w:rPr>
            </w:pPr>
            <w:r w:rsidRPr="007779AE">
              <w:rPr>
                <w:rFonts w:ascii="Calibri" w:hAnsi="Calibri" w:cs="Calibri"/>
                <w:i/>
                <w:iCs/>
                <w:color w:val="375623"/>
                <w:sz w:val="18"/>
                <w:szCs w:val="18"/>
                <w:lang w:val="en-GB"/>
              </w:rPr>
              <w:t>Diversity</w:t>
            </w:r>
          </w:p>
        </w:tc>
      </w:tr>
      <w:tr w:rsidR="006F38FF" w:rsidRPr="00F50C19" w14:paraId="21C3F13E" w14:textId="4DFDAA82" w:rsidTr="006C0B7E">
        <w:trPr>
          <w:trHeight w:val="1833"/>
        </w:trPr>
        <w:tc>
          <w:tcPr>
            <w:tcW w:w="1271" w:type="dxa"/>
            <w:shd w:val="clear" w:color="auto" w:fill="auto"/>
            <w:hideMark/>
          </w:tcPr>
          <w:p w14:paraId="280824EA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i/>
                <w:iCs/>
                <w:color w:val="375623"/>
                <w:sz w:val="18"/>
                <w:szCs w:val="18"/>
                <w:lang w:val="en-GB" w:eastAsia="nl-NL"/>
              </w:rPr>
              <w:lastRenderedPageBreak/>
              <w:t>Response diversity</w:t>
            </w:r>
          </w:p>
        </w:tc>
        <w:tc>
          <w:tcPr>
            <w:tcW w:w="1843" w:type="dxa"/>
            <w:shd w:val="clear" w:color="auto" w:fill="auto"/>
            <w:hideMark/>
          </w:tcPr>
          <w:p w14:paraId="5B7CF016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375623"/>
                <w:sz w:val="18"/>
                <w:szCs w:val="18"/>
                <w:lang w:val="en-GB" w:eastAsia="nl-NL"/>
              </w:rPr>
            </w:pPr>
            <w:r w:rsidRPr="005A0810">
              <w:rPr>
                <w:rFonts w:ascii="Calibri" w:eastAsia="Times New Roman" w:hAnsi="Calibri" w:cs="Times New Roman"/>
                <w:i/>
                <w:iCs/>
                <w:color w:val="375623"/>
                <w:sz w:val="18"/>
                <w:szCs w:val="18"/>
                <w:lang w:val="en-GB" w:eastAsia="nl-NL"/>
              </w:rPr>
              <w:t>Response diversity is the range of responses of these components to environmental change</w:t>
            </w:r>
          </w:p>
        </w:tc>
        <w:tc>
          <w:tcPr>
            <w:tcW w:w="2268" w:type="dxa"/>
            <w:shd w:val="clear" w:color="auto" w:fill="auto"/>
            <w:hideMark/>
          </w:tcPr>
          <w:p w14:paraId="631355FB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375623"/>
                <w:sz w:val="18"/>
                <w:szCs w:val="18"/>
                <w:lang w:val="en-GB" w:eastAsia="nl-NL"/>
              </w:rPr>
            </w:pPr>
            <w:r w:rsidRPr="005A0810">
              <w:rPr>
                <w:rFonts w:ascii="Calibri" w:eastAsia="Times New Roman" w:hAnsi="Calibri" w:cs="Times New Roman"/>
                <w:i/>
                <w:iCs/>
                <w:color w:val="375623"/>
                <w:sz w:val="18"/>
                <w:szCs w:val="18"/>
                <w:lang w:val="en-GB" w:eastAsia="nl-NL"/>
              </w:rPr>
              <w:t>Diversity buffers against perturbations (insurance) and pro</w:t>
            </w:r>
            <w:r w:rsidRPr="004A3206">
              <w:rPr>
                <w:rFonts w:ascii="Calibri" w:eastAsia="Times New Roman" w:hAnsi="Calibri" w:cs="Times New Roman"/>
                <w:i/>
                <w:iCs/>
                <w:color w:val="375623"/>
                <w:sz w:val="18"/>
                <w:szCs w:val="18"/>
                <w:lang w:val="en-GB" w:eastAsia="nl-NL"/>
              </w:rPr>
              <w:t xml:space="preserve">vides seeds of renewal following </w:t>
            </w:r>
            <w:r w:rsidRPr="00F50C19">
              <w:rPr>
                <w:rFonts w:ascii="Calibri" w:eastAsia="Times New Roman" w:hAnsi="Calibri" w:cs="Times New Roman"/>
                <w:i/>
                <w:iCs/>
                <w:color w:val="375623"/>
                <w:sz w:val="18"/>
                <w:szCs w:val="18"/>
                <w:lang w:val="en-GB" w:eastAsia="nl-NL"/>
              </w:rPr>
              <w:t>disturbance</w:t>
            </w:r>
          </w:p>
        </w:tc>
        <w:tc>
          <w:tcPr>
            <w:tcW w:w="1701" w:type="dxa"/>
            <w:shd w:val="clear" w:color="auto" w:fill="auto"/>
            <w:hideMark/>
          </w:tcPr>
          <w:p w14:paraId="77D65DCA" w14:textId="70F6E09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b/>
                <w:bCs/>
                <w:i/>
                <w:iCs/>
                <w:color w:val="375623"/>
                <w:sz w:val="18"/>
                <w:szCs w:val="18"/>
                <w:lang w:val="en-GB" w:eastAsia="nl-NL"/>
              </w:rPr>
              <w:t>Diversity of risk management strategies</w:t>
            </w:r>
            <w:r w:rsidRPr="00F50C19">
              <w:rPr>
                <w:rFonts w:ascii="Calibri" w:eastAsia="Times New Roman" w:hAnsi="Calibri" w:cs="Times New Roman"/>
                <w:i/>
                <w:iCs/>
                <w:color w:val="375623"/>
                <w:sz w:val="18"/>
                <w:szCs w:val="18"/>
                <w:lang w:val="en-GB" w:eastAsia="nl-NL"/>
              </w:rPr>
              <w:t xml:space="preserve">, e.g. different pest controls, </w:t>
            </w:r>
            <w:r w:rsidRPr="00F50C19">
              <w:rPr>
                <w:rFonts w:ascii="Calibri" w:eastAsia="Times New Roman" w:hAnsi="Calibri" w:cs="Times New Roman"/>
                <w:b/>
                <w:bCs/>
                <w:i/>
                <w:iCs/>
                <w:color w:val="375623"/>
                <w:sz w:val="18"/>
                <w:szCs w:val="18"/>
                <w:lang w:val="en-GB" w:eastAsia="nl-NL"/>
              </w:rPr>
              <w:t>weather insurance, flexible payment arrangements</w:t>
            </w:r>
          </w:p>
        </w:tc>
        <w:tc>
          <w:tcPr>
            <w:tcW w:w="1276" w:type="dxa"/>
            <w:shd w:val="clear" w:color="auto" w:fill="auto"/>
            <w:hideMark/>
          </w:tcPr>
          <w:p w14:paraId="75D905E4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i/>
                <w:iCs/>
                <w:color w:val="375623"/>
                <w:sz w:val="18"/>
                <w:szCs w:val="18"/>
                <w:lang w:val="en-GB" w:eastAsia="nl-NL"/>
              </w:rPr>
              <w:t>Risk management</w:t>
            </w:r>
          </w:p>
        </w:tc>
        <w:tc>
          <w:tcPr>
            <w:tcW w:w="1134" w:type="dxa"/>
          </w:tcPr>
          <w:p w14:paraId="17830E4D" w14:textId="156F9184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375623"/>
                <w:sz w:val="18"/>
                <w:szCs w:val="18"/>
                <w:lang w:val="en-GB" w:eastAsia="nl-NL"/>
              </w:rPr>
            </w:pPr>
            <w:r w:rsidRPr="007779AE">
              <w:rPr>
                <w:rFonts w:ascii="Calibri" w:hAnsi="Calibri" w:cs="Calibri"/>
                <w:i/>
                <w:iCs/>
                <w:color w:val="375623"/>
                <w:sz w:val="18"/>
                <w:szCs w:val="18"/>
                <w:lang w:val="en-GB"/>
              </w:rPr>
              <w:t>Diversity</w:t>
            </w:r>
          </w:p>
        </w:tc>
      </w:tr>
      <w:tr w:rsidR="006F38FF" w:rsidRPr="00F50C19" w14:paraId="1837F21A" w14:textId="19C867FB" w:rsidTr="006C0B7E">
        <w:trPr>
          <w:trHeight w:val="1982"/>
        </w:trPr>
        <w:tc>
          <w:tcPr>
            <w:tcW w:w="1271" w:type="dxa"/>
            <w:shd w:val="clear" w:color="auto" w:fill="auto"/>
            <w:hideMark/>
          </w:tcPr>
          <w:p w14:paraId="750AA346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>Exposed to disturbance</w:t>
            </w:r>
          </w:p>
        </w:tc>
        <w:tc>
          <w:tcPr>
            <w:tcW w:w="1843" w:type="dxa"/>
            <w:shd w:val="clear" w:color="auto" w:fill="auto"/>
            <w:hideMark/>
          </w:tcPr>
          <w:p w14:paraId="3426A6C5" w14:textId="77777777" w:rsidR="006F38FF" w:rsidRPr="004A3206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</w:pPr>
            <w:r w:rsidRPr="005A0810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>The system is exposed to discrete, low-level events that cause disruptions without pushing the system beyond a critical threshold</w:t>
            </w:r>
          </w:p>
        </w:tc>
        <w:tc>
          <w:tcPr>
            <w:tcW w:w="2268" w:type="dxa"/>
            <w:shd w:val="clear" w:color="auto" w:fill="auto"/>
            <w:hideMark/>
          </w:tcPr>
          <w:p w14:paraId="49D8B499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>Such frequent, small-scale disturbances can increase system resilience and adaptability in the long term by promoting natural selection and novel configurations during the phase of renewal; described as “creative destruction”</w:t>
            </w:r>
          </w:p>
        </w:tc>
        <w:tc>
          <w:tcPr>
            <w:tcW w:w="1701" w:type="dxa"/>
            <w:shd w:val="clear" w:color="auto" w:fill="auto"/>
            <w:hideMark/>
          </w:tcPr>
          <w:p w14:paraId="1995340A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>Pest management that allows a certain controlled amount of invasion followed by selection of plants that fared well and exhibit signs of resistance</w:t>
            </w:r>
          </w:p>
        </w:tc>
        <w:tc>
          <w:tcPr>
            <w:tcW w:w="1276" w:type="dxa"/>
            <w:shd w:val="clear" w:color="auto" w:fill="auto"/>
            <w:hideMark/>
          </w:tcPr>
          <w:p w14:paraId="0BFA310A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>Risk management</w:t>
            </w:r>
          </w:p>
        </w:tc>
        <w:tc>
          <w:tcPr>
            <w:tcW w:w="1134" w:type="dxa"/>
          </w:tcPr>
          <w:p w14:paraId="3849D104" w14:textId="742E22BB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</w:pPr>
            <w:r w:rsidRPr="007779AE">
              <w:rPr>
                <w:rFonts w:ascii="Calibri" w:hAnsi="Calibri" w:cs="Calibri"/>
                <w:color w:val="375623"/>
                <w:sz w:val="18"/>
                <w:szCs w:val="18"/>
                <w:lang w:val="en-GB"/>
              </w:rPr>
              <w:t>Openness</w:t>
            </w:r>
          </w:p>
        </w:tc>
      </w:tr>
      <w:tr w:rsidR="006F38FF" w:rsidRPr="00F50C19" w14:paraId="7FC56E18" w14:textId="02E44F36" w:rsidTr="006C0B7E">
        <w:trPr>
          <w:trHeight w:val="1401"/>
        </w:trPr>
        <w:tc>
          <w:tcPr>
            <w:tcW w:w="1271" w:type="dxa"/>
            <w:shd w:val="clear" w:color="auto" w:fill="auto"/>
            <w:hideMark/>
          </w:tcPr>
          <w:p w14:paraId="354F7C07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 xml:space="preserve">Spatial and temporal </w:t>
            </w:r>
            <w:r w:rsidRPr="005A0810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>heterogeneity</w:t>
            </w:r>
            <w:r w:rsidRPr="005A0810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 xml:space="preserve"> (farm types)</w:t>
            </w:r>
          </w:p>
        </w:tc>
        <w:tc>
          <w:tcPr>
            <w:tcW w:w="1843" w:type="dxa"/>
            <w:shd w:val="clear" w:color="auto" w:fill="auto"/>
            <w:hideMark/>
          </w:tcPr>
          <w:p w14:paraId="4555F54E" w14:textId="77777777" w:rsidR="006F38FF" w:rsidRPr="004A3206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</w:pPr>
            <w:r w:rsidRPr="005A0810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>Patchiness across the landscape and changes through time</w:t>
            </w:r>
          </w:p>
        </w:tc>
        <w:tc>
          <w:tcPr>
            <w:tcW w:w="2268" w:type="dxa"/>
            <w:shd w:val="clear" w:color="auto" w:fill="auto"/>
            <w:hideMark/>
          </w:tcPr>
          <w:p w14:paraId="0DB0863C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>Like diversity, spatial heterogeneity provides seeds of renewal following disturbance</w:t>
            </w:r>
          </w:p>
        </w:tc>
        <w:tc>
          <w:tcPr>
            <w:tcW w:w="1701" w:type="dxa"/>
            <w:shd w:val="clear" w:color="auto" w:fill="auto"/>
            <w:hideMark/>
          </w:tcPr>
          <w:p w14:paraId="481A578E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>Diverse farm types with regard to economic size, intensity, orientation and degree of specialisation.</w:t>
            </w:r>
          </w:p>
        </w:tc>
        <w:tc>
          <w:tcPr>
            <w:tcW w:w="1276" w:type="dxa"/>
            <w:shd w:val="clear" w:color="auto" w:fill="auto"/>
            <w:hideMark/>
          </w:tcPr>
          <w:p w14:paraId="359DBF6C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>Farm demographics, risk management</w:t>
            </w:r>
          </w:p>
        </w:tc>
        <w:tc>
          <w:tcPr>
            <w:tcW w:w="1134" w:type="dxa"/>
          </w:tcPr>
          <w:p w14:paraId="0BBF8C68" w14:textId="28F75F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</w:pPr>
            <w:r w:rsidRPr="007779AE">
              <w:rPr>
                <w:rFonts w:ascii="Calibri" w:hAnsi="Calibri" w:cs="Calibri"/>
                <w:b/>
                <w:bCs/>
                <w:color w:val="375623"/>
                <w:sz w:val="18"/>
                <w:szCs w:val="18"/>
                <w:lang w:val="en-GB"/>
              </w:rPr>
              <w:t>Modularity, diversity</w:t>
            </w:r>
          </w:p>
        </w:tc>
      </w:tr>
      <w:tr w:rsidR="006F38FF" w:rsidRPr="00F50C19" w14:paraId="599A21A4" w14:textId="4E7A37B1" w:rsidTr="006C0B7E">
        <w:trPr>
          <w:trHeight w:val="1548"/>
        </w:trPr>
        <w:tc>
          <w:tcPr>
            <w:tcW w:w="1271" w:type="dxa"/>
            <w:shd w:val="clear" w:color="auto" w:fill="auto"/>
            <w:hideMark/>
          </w:tcPr>
          <w:p w14:paraId="541D8315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i/>
                <w:iCs/>
                <w:color w:val="375623"/>
                <w:sz w:val="18"/>
                <w:szCs w:val="18"/>
                <w:lang w:val="en-GB" w:eastAsia="nl-NL"/>
              </w:rPr>
              <w:t xml:space="preserve">Optimally redundant </w:t>
            </w:r>
            <w:r w:rsidRPr="005A0810">
              <w:rPr>
                <w:rFonts w:ascii="Calibri" w:eastAsia="Times New Roman" w:hAnsi="Calibri" w:cs="Times New Roman"/>
                <w:b/>
                <w:bCs/>
                <w:i/>
                <w:iCs/>
                <w:color w:val="375623"/>
                <w:sz w:val="18"/>
                <w:szCs w:val="18"/>
                <w:lang w:val="en-GB" w:eastAsia="nl-NL"/>
              </w:rPr>
              <w:t>(farms)</w:t>
            </w:r>
          </w:p>
        </w:tc>
        <w:tc>
          <w:tcPr>
            <w:tcW w:w="1843" w:type="dxa"/>
            <w:shd w:val="clear" w:color="auto" w:fill="auto"/>
            <w:hideMark/>
          </w:tcPr>
          <w:p w14:paraId="0B3A99EB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375623"/>
                <w:sz w:val="18"/>
                <w:szCs w:val="18"/>
                <w:lang w:val="en-GB" w:eastAsia="nl-NL"/>
              </w:rPr>
            </w:pPr>
            <w:r w:rsidRPr="005A0810">
              <w:rPr>
                <w:rFonts w:ascii="Calibri" w:eastAsia="Times New Roman" w:hAnsi="Calibri" w:cs="Times New Roman"/>
                <w:i/>
                <w:iCs/>
                <w:color w:val="375623"/>
                <w:sz w:val="18"/>
                <w:szCs w:val="18"/>
                <w:lang w:val="en-GB" w:eastAsia="nl-NL"/>
              </w:rPr>
              <w:t>Critical components and relationships within the system are duplicated in case of failure</w:t>
            </w:r>
          </w:p>
        </w:tc>
        <w:tc>
          <w:tcPr>
            <w:tcW w:w="2268" w:type="dxa"/>
            <w:shd w:val="clear" w:color="auto" w:fill="auto"/>
            <w:hideMark/>
          </w:tcPr>
          <w:p w14:paraId="622F8551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375623"/>
                <w:sz w:val="18"/>
                <w:szCs w:val="18"/>
                <w:lang w:val="en-GB" w:eastAsia="nl-NL"/>
              </w:rPr>
            </w:pPr>
            <w:r w:rsidRPr="005A0810">
              <w:rPr>
                <w:rFonts w:ascii="Calibri" w:eastAsia="Times New Roman" w:hAnsi="Calibri" w:cs="Times New Roman"/>
                <w:i/>
                <w:iCs/>
                <w:color w:val="375623"/>
                <w:sz w:val="18"/>
                <w:szCs w:val="18"/>
                <w:lang w:val="en-GB" w:eastAsia="nl-NL"/>
              </w:rPr>
              <w:t xml:space="preserve">Also called response diversity; redundancy may decrease a </w:t>
            </w:r>
            <w:r w:rsidRPr="004A3206">
              <w:rPr>
                <w:rFonts w:ascii="Calibri" w:eastAsia="Times New Roman" w:hAnsi="Calibri" w:cs="Times New Roman"/>
                <w:i/>
                <w:iCs/>
                <w:color w:val="375623"/>
                <w:sz w:val="18"/>
                <w:szCs w:val="18"/>
                <w:lang w:val="en-GB" w:eastAsia="nl-NL"/>
              </w:rPr>
              <w:t>system’</w:t>
            </w:r>
            <w:r w:rsidRPr="00F50C19">
              <w:rPr>
                <w:rFonts w:ascii="Calibri" w:eastAsia="Times New Roman" w:hAnsi="Calibri" w:cs="Times New Roman"/>
                <w:i/>
                <w:iCs/>
                <w:color w:val="375623"/>
                <w:sz w:val="18"/>
                <w:szCs w:val="18"/>
                <w:lang w:val="en-GB" w:eastAsia="nl-NL"/>
              </w:rPr>
              <w:t>s efficiency, but it gives the system multiple back-ups, increases buffering capacity, and provides seeds of renewal following disturbance</w:t>
            </w:r>
          </w:p>
        </w:tc>
        <w:tc>
          <w:tcPr>
            <w:tcW w:w="1701" w:type="dxa"/>
            <w:shd w:val="clear" w:color="auto" w:fill="auto"/>
            <w:hideMark/>
          </w:tcPr>
          <w:p w14:paraId="541A5010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b/>
                <w:bCs/>
                <w:i/>
                <w:iCs/>
                <w:color w:val="375623"/>
                <w:sz w:val="18"/>
                <w:szCs w:val="18"/>
                <w:lang w:val="en-GB" w:eastAsia="nl-NL"/>
              </w:rPr>
              <w:t>Farmers stop without endangering continuation of the farming system and new farmers can enter the farming system easily</w:t>
            </w:r>
          </w:p>
        </w:tc>
        <w:tc>
          <w:tcPr>
            <w:tcW w:w="1276" w:type="dxa"/>
            <w:shd w:val="clear" w:color="auto" w:fill="auto"/>
            <w:hideMark/>
          </w:tcPr>
          <w:p w14:paraId="107E5546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b/>
                <w:bCs/>
                <w:i/>
                <w:iCs/>
                <w:color w:val="375623"/>
                <w:sz w:val="18"/>
                <w:szCs w:val="18"/>
                <w:lang w:val="en-GB" w:eastAsia="nl-NL"/>
              </w:rPr>
              <w:t>Farm demographics; risk management</w:t>
            </w:r>
          </w:p>
        </w:tc>
        <w:tc>
          <w:tcPr>
            <w:tcW w:w="1134" w:type="dxa"/>
          </w:tcPr>
          <w:p w14:paraId="41B75DD4" w14:textId="351611B4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375623"/>
                <w:sz w:val="18"/>
                <w:szCs w:val="18"/>
                <w:lang w:val="en-GB" w:eastAsia="nl-NL"/>
              </w:rPr>
            </w:pPr>
            <w:r w:rsidRPr="007779AE">
              <w:rPr>
                <w:rFonts w:ascii="Calibri" w:hAnsi="Calibri" w:cs="Calibri"/>
                <w:b/>
                <w:bCs/>
                <w:i/>
                <w:iCs/>
                <w:color w:val="375623"/>
                <w:sz w:val="18"/>
                <w:szCs w:val="18"/>
                <w:lang w:val="en-GB"/>
              </w:rPr>
              <w:t>Modularity</w:t>
            </w:r>
          </w:p>
        </w:tc>
      </w:tr>
      <w:tr w:rsidR="006F38FF" w:rsidRPr="00F50C19" w14:paraId="3EF8E857" w14:textId="32976515" w:rsidTr="006C0B7E">
        <w:trPr>
          <w:trHeight w:val="1980"/>
        </w:trPr>
        <w:tc>
          <w:tcPr>
            <w:tcW w:w="1271" w:type="dxa"/>
            <w:shd w:val="clear" w:color="auto" w:fill="auto"/>
            <w:hideMark/>
          </w:tcPr>
          <w:p w14:paraId="090967CC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>Supports rural life</w:t>
            </w:r>
          </w:p>
        </w:tc>
        <w:tc>
          <w:tcPr>
            <w:tcW w:w="1843" w:type="dxa"/>
            <w:shd w:val="clear" w:color="auto" w:fill="auto"/>
            <w:hideMark/>
          </w:tcPr>
          <w:p w14:paraId="48DFC112" w14:textId="0462A5F4" w:rsidR="006F38FF" w:rsidRPr="005A0810" w:rsidRDefault="40793880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</w:pPr>
            <w:r w:rsidRPr="551F297C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>The activities in the farming system attract and maintain a healthy and adequate workforce, including young, intermediate and older people</w:t>
            </w:r>
          </w:p>
        </w:tc>
        <w:tc>
          <w:tcPr>
            <w:tcW w:w="2268" w:type="dxa"/>
            <w:shd w:val="clear" w:color="auto" w:fill="auto"/>
            <w:hideMark/>
          </w:tcPr>
          <w:p w14:paraId="4AFE9FB6" w14:textId="5507F748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</w:pPr>
            <w:r w:rsidRPr="005A0810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>A healthy workforce that includes multiple g</w:t>
            </w:r>
            <w:r w:rsidRPr="004A3206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>enerations will ensure continuation of activities and facilities in th</w:t>
            </w:r>
            <w:r w:rsidRPr="00F50C19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>e area, and the timely transfer of knowledge</w:t>
            </w:r>
          </w:p>
        </w:tc>
        <w:tc>
          <w:tcPr>
            <w:tcW w:w="1701" w:type="dxa"/>
            <w:shd w:val="clear" w:color="auto" w:fill="auto"/>
            <w:hideMark/>
          </w:tcPr>
          <w:p w14:paraId="2541F098" w14:textId="2DA66272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>A balanced population with young, intermediate and older people; Enough facilities in the nearby area to maintain an adequate standard of life</w:t>
            </w:r>
          </w:p>
        </w:tc>
        <w:tc>
          <w:tcPr>
            <w:tcW w:w="1276" w:type="dxa"/>
            <w:shd w:val="clear" w:color="auto" w:fill="auto"/>
            <w:hideMark/>
          </w:tcPr>
          <w:p w14:paraId="6DB7CB23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>Farm demographics</w:t>
            </w:r>
          </w:p>
        </w:tc>
        <w:tc>
          <w:tcPr>
            <w:tcW w:w="1134" w:type="dxa"/>
          </w:tcPr>
          <w:p w14:paraId="750DB303" w14:textId="2AB1E615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</w:pPr>
            <w:r w:rsidRPr="007779AE">
              <w:rPr>
                <w:rFonts w:ascii="Calibri" w:hAnsi="Calibri" w:cs="Calibri"/>
                <w:b/>
                <w:bCs/>
                <w:color w:val="375623"/>
                <w:sz w:val="18"/>
                <w:szCs w:val="18"/>
                <w:lang w:val="en-GB"/>
              </w:rPr>
              <w:t>System reserves</w:t>
            </w:r>
          </w:p>
        </w:tc>
      </w:tr>
      <w:tr w:rsidR="006F38FF" w:rsidRPr="00F50C19" w14:paraId="27307B07" w14:textId="299978DF" w:rsidTr="006C0B7E">
        <w:trPr>
          <w:trHeight w:val="1967"/>
        </w:trPr>
        <w:tc>
          <w:tcPr>
            <w:tcW w:w="1271" w:type="dxa"/>
            <w:shd w:val="clear" w:color="auto" w:fill="auto"/>
            <w:hideMark/>
          </w:tcPr>
          <w:p w14:paraId="6DF6175C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 xml:space="preserve">Socially self-organized </w:t>
            </w:r>
          </w:p>
        </w:tc>
        <w:tc>
          <w:tcPr>
            <w:tcW w:w="1843" w:type="dxa"/>
            <w:shd w:val="clear" w:color="auto" w:fill="auto"/>
            <w:hideMark/>
          </w:tcPr>
          <w:p w14:paraId="14EB28C0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</w:pPr>
            <w:r w:rsidRPr="005A0810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>The social components of the agroecosystem are able to form their own configuration based on their needs and desires</w:t>
            </w:r>
          </w:p>
        </w:tc>
        <w:tc>
          <w:tcPr>
            <w:tcW w:w="2268" w:type="dxa"/>
            <w:shd w:val="clear" w:color="auto" w:fill="auto"/>
            <w:hideMark/>
          </w:tcPr>
          <w:p w14:paraId="1C86F8D6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</w:pPr>
            <w:r w:rsidRPr="005A0810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>Systems that exhibit greater level of self-organization need fewer feedbac</w:t>
            </w:r>
            <w:r w:rsidRPr="004A3206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>ks introduced by managers and have great</w:t>
            </w:r>
            <w:r w:rsidRPr="00F50C19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>er intrinsic adaptive capacity</w:t>
            </w:r>
          </w:p>
        </w:tc>
        <w:tc>
          <w:tcPr>
            <w:tcW w:w="1701" w:type="dxa"/>
            <w:shd w:val="clear" w:color="auto" w:fill="auto"/>
            <w:hideMark/>
          </w:tcPr>
          <w:p w14:paraId="0104EE3B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>Farmers are able to organize themselves into networks and institutions such as co-ops, farmer’s markets, community sustainability associations, and advisory networks</w:t>
            </w:r>
          </w:p>
        </w:tc>
        <w:tc>
          <w:tcPr>
            <w:tcW w:w="1276" w:type="dxa"/>
            <w:shd w:val="clear" w:color="auto" w:fill="auto"/>
            <w:hideMark/>
          </w:tcPr>
          <w:p w14:paraId="353401A9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>Governance</w:t>
            </w:r>
          </w:p>
        </w:tc>
        <w:tc>
          <w:tcPr>
            <w:tcW w:w="1134" w:type="dxa"/>
          </w:tcPr>
          <w:p w14:paraId="7FBEC35F" w14:textId="05D4763E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</w:pPr>
            <w:r w:rsidRPr="007779AE">
              <w:rPr>
                <w:rFonts w:ascii="Calibri" w:hAnsi="Calibri" w:cs="Calibri"/>
                <w:color w:val="375623"/>
                <w:sz w:val="18"/>
                <w:szCs w:val="18"/>
                <w:lang w:val="en-GB"/>
              </w:rPr>
              <w:t>Tightness of feedbacks</w:t>
            </w:r>
          </w:p>
        </w:tc>
      </w:tr>
      <w:tr w:rsidR="006F38FF" w:rsidRPr="00F50C19" w14:paraId="180D3BD6" w14:textId="545A14D6" w:rsidTr="006C0B7E">
        <w:trPr>
          <w:trHeight w:val="1699"/>
        </w:trPr>
        <w:tc>
          <w:tcPr>
            <w:tcW w:w="1271" w:type="dxa"/>
            <w:shd w:val="clear" w:color="auto" w:fill="auto"/>
            <w:hideMark/>
          </w:tcPr>
          <w:p w14:paraId="09EC773A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lastRenderedPageBreak/>
              <w:t xml:space="preserve">Appropriately connected </w:t>
            </w:r>
            <w:r w:rsidRPr="005A0810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>with actors outside the farming system</w:t>
            </w:r>
          </w:p>
        </w:tc>
        <w:tc>
          <w:tcPr>
            <w:tcW w:w="1843" w:type="dxa"/>
            <w:shd w:val="clear" w:color="auto" w:fill="auto"/>
            <w:hideMark/>
          </w:tcPr>
          <w:p w14:paraId="4FA6A654" w14:textId="631B685C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</w:pPr>
            <w:r w:rsidRPr="005A0810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>The social components of the agroecosystem are able to form ties with actors outside their farming system</w:t>
            </w:r>
          </w:p>
        </w:tc>
        <w:tc>
          <w:tcPr>
            <w:tcW w:w="2268" w:type="dxa"/>
            <w:shd w:val="clear" w:color="auto" w:fill="auto"/>
            <w:hideMark/>
          </w:tcPr>
          <w:p w14:paraId="4747B3D4" w14:textId="2D7F6D10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</w:pPr>
            <w:r w:rsidRPr="004A3206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>In case self-organization fails, signals can be send to actors that in</w:t>
            </w:r>
            <w:r w:rsidRPr="00F50C19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>directly influence the farming system</w:t>
            </w:r>
          </w:p>
        </w:tc>
        <w:tc>
          <w:tcPr>
            <w:tcW w:w="1701" w:type="dxa"/>
            <w:shd w:val="clear" w:color="auto" w:fill="auto"/>
            <w:hideMark/>
          </w:tcPr>
          <w:p w14:paraId="24CA9CF1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>Farmers and other actors in the farming system are able to reach out to policy makers, suppliers and markets that operate at the national level</w:t>
            </w:r>
          </w:p>
        </w:tc>
        <w:tc>
          <w:tcPr>
            <w:tcW w:w="1276" w:type="dxa"/>
            <w:shd w:val="clear" w:color="auto" w:fill="auto"/>
            <w:hideMark/>
          </w:tcPr>
          <w:p w14:paraId="0BF383A0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>Governance</w:t>
            </w:r>
          </w:p>
        </w:tc>
        <w:tc>
          <w:tcPr>
            <w:tcW w:w="1134" w:type="dxa"/>
          </w:tcPr>
          <w:p w14:paraId="1EDE435D" w14:textId="42C8EE5B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</w:pPr>
            <w:r w:rsidRPr="007779AE">
              <w:rPr>
                <w:rFonts w:ascii="Calibri" w:hAnsi="Calibri" w:cs="Calibri"/>
                <w:color w:val="375623"/>
                <w:sz w:val="18"/>
                <w:szCs w:val="18"/>
                <w:lang w:val="en-GB"/>
              </w:rPr>
              <w:t>Tightness of feedbacks</w:t>
            </w:r>
          </w:p>
        </w:tc>
      </w:tr>
      <w:tr w:rsidR="006F38FF" w:rsidRPr="00F50C19" w14:paraId="6867C8F4" w14:textId="4FCB16A8" w:rsidTr="006C0B7E">
        <w:trPr>
          <w:trHeight w:val="1557"/>
        </w:trPr>
        <w:tc>
          <w:tcPr>
            <w:tcW w:w="1271" w:type="dxa"/>
            <w:shd w:val="clear" w:color="auto" w:fill="auto"/>
            <w:hideMark/>
          </w:tcPr>
          <w:p w14:paraId="4EBD48BF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>Coupled with local and natural capital</w:t>
            </w:r>
            <w:r w:rsidRPr="005A0810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 xml:space="preserve"> (legislation)</w:t>
            </w:r>
          </w:p>
        </w:tc>
        <w:tc>
          <w:tcPr>
            <w:tcW w:w="1843" w:type="dxa"/>
            <w:shd w:val="clear" w:color="auto" w:fill="auto"/>
            <w:hideMark/>
          </w:tcPr>
          <w:p w14:paraId="4E9CB694" w14:textId="77777777" w:rsidR="006F38FF" w:rsidRPr="004A3206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</w:pPr>
            <w:r w:rsidRPr="005A0810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>Regulations are developed to let</w:t>
            </w:r>
            <w:r w:rsidRPr="005A0810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 xml:space="preserve"> the system function as much as possible within the means of the bio-regionally available natural resource base and ecosystem services</w:t>
            </w:r>
          </w:p>
        </w:tc>
        <w:tc>
          <w:tcPr>
            <w:tcW w:w="2268" w:type="dxa"/>
            <w:shd w:val="clear" w:color="auto" w:fill="auto"/>
            <w:hideMark/>
          </w:tcPr>
          <w:p w14:paraId="6D153AE2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375623"/>
                <w:sz w:val="18"/>
                <w:szCs w:val="18"/>
                <w:lang w:val="en-GB" w:eastAsia="nl-NL"/>
              </w:rPr>
              <w:t>Responsible use of local resources encourages a system to live within its means; this creates an agroecosystem that recycles waste, relies on healthy soil, and conserves water</w:t>
            </w:r>
          </w:p>
        </w:tc>
        <w:tc>
          <w:tcPr>
            <w:tcW w:w="1701" w:type="dxa"/>
            <w:shd w:val="clear" w:color="auto" w:fill="auto"/>
            <w:hideMark/>
          </w:tcPr>
          <w:p w14:paraId="6280D840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>Norms, legislation and regulatory framework adapted to the local conditions</w:t>
            </w:r>
          </w:p>
        </w:tc>
        <w:tc>
          <w:tcPr>
            <w:tcW w:w="1276" w:type="dxa"/>
            <w:shd w:val="clear" w:color="auto" w:fill="auto"/>
            <w:hideMark/>
          </w:tcPr>
          <w:p w14:paraId="03F4FBAD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>Governance, agricultural production</w:t>
            </w:r>
          </w:p>
        </w:tc>
        <w:tc>
          <w:tcPr>
            <w:tcW w:w="1134" w:type="dxa"/>
          </w:tcPr>
          <w:p w14:paraId="3D311CFF" w14:textId="316CFDFD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</w:pPr>
            <w:r w:rsidRPr="007779AE">
              <w:rPr>
                <w:rFonts w:ascii="Calibri" w:hAnsi="Calibri" w:cs="Calibri"/>
                <w:b/>
                <w:bCs/>
                <w:color w:val="375623"/>
                <w:sz w:val="18"/>
                <w:szCs w:val="18"/>
                <w:lang w:val="en-GB"/>
              </w:rPr>
              <w:t>System reserves</w:t>
            </w:r>
          </w:p>
        </w:tc>
      </w:tr>
      <w:tr w:rsidR="006F38FF" w:rsidRPr="00F50C19" w14:paraId="32A4EA39" w14:textId="2032470B" w:rsidTr="006C0B7E">
        <w:trPr>
          <w:trHeight w:val="2407"/>
        </w:trPr>
        <w:tc>
          <w:tcPr>
            <w:tcW w:w="1271" w:type="dxa"/>
            <w:shd w:val="clear" w:color="auto" w:fill="auto"/>
            <w:hideMark/>
          </w:tcPr>
          <w:p w14:paraId="70951FD0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>Infrastructure for innova</w:t>
            </w:r>
            <w:r w:rsidRPr="005A0810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>tion</w:t>
            </w:r>
          </w:p>
        </w:tc>
        <w:tc>
          <w:tcPr>
            <w:tcW w:w="1843" w:type="dxa"/>
            <w:shd w:val="clear" w:color="auto" w:fill="auto"/>
            <w:hideMark/>
          </w:tcPr>
          <w:p w14:paraId="23F27356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</w:pPr>
            <w:r w:rsidRPr="005A0810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>Existing infrastructure facilitates diffusion of knowledge and adoption of cutting-edge technologies (e.g. digital)</w:t>
            </w:r>
          </w:p>
        </w:tc>
        <w:tc>
          <w:tcPr>
            <w:tcW w:w="2268" w:type="dxa"/>
            <w:shd w:val="clear" w:color="auto" w:fill="auto"/>
            <w:hideMark/>
          </w:tcPr>
          <w:p w14:paraId="273F7EFD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</w:pPr>
            <w:r w:rsidRPr="005A0810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 xml:space="preserve">Through timely adoption of new knowledge and technologies, a farming system can better navigate in a changing </w:t>
            </w:r>
            <w:r w:rsidRPr="004A3206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>environment.</w:t>
            </w:r>
          </w:p>
        </w:tc>
        <w:tc>
          <w:tcPr>
            <w:tcW w:w="1701" w:type="dxa"/>
            <w:shd w:val="clear" w:color="auto" w:fill="auto"/>
            <w:hideMark/>
          </w:tcPr>
          <w:p w14:paraId="49F77418" w14:textId="0C87B7E9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>Infrastructure that allows new ways of agricultural production and improved information flows e.g. allowing track and trace of agricultural products throughout the value chain</w:t>
            </w:r>
          </w:p>
        </w:tc>
        <w:tc>
          <w:tcPr>
            <w:tcW w:w="1276" w:type="dxa"/>
            <w:shd w:val="clear" w:color="auto" w:fill="auto"/>
            <w:hideMark/>
          </w:tcPr>
          <w:p w14:paraId="352DA1CC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>Governance, agricultural production</w:t>
            </w:r>
          </w:p>
        </w:tc>
        <w:tc>
          <w:tcPr>
            <w:tcW w:w="1134" w:type="dxa"/>
          </w:tcPr>
          <w:p w14:paraId="43DC33C2" w14:textId="3D58A016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</w:pPr>
            <w:r w:rsidRPr="007779AE">
              <w:rPr>
                <w:rFonts w:ascii="Calibri" w:hAnsi="Calibri" w:cs="Calibri"/>
                <w:b/>
                <w:bCs/>
                <w:color w:val="375623"/>
                <w:sz w:val="18"/>
                <w:szCs w:val="18"/>
                <w:lang w:val="en-GB"/>
              </w:rPr>
              <w:t>Openness, system reserves</w:t>
            </w:r>
          </w:p>
        </w:tc>
      </w:tr>
      <w:tr w:rsidR="006F38FF" w:rsidRPr="00F50C19" w14:paraId="786B9B01" w14:textId="71BA6D3E" w:rsidTr="006C0B7E">
        <w:trPr>
          <w:trHeight w:val="1959"/>
        </w:trPr>
        <w:tc>
          <w:tcPr>
            <w:tcW w:w="1271" w:type="dxa"/>
            <w:shd w:val="clear" w:color="auto" w:fill="auto"/>
            <w:hideMark/>
          </w:tcPr>
          <w:p w14:paraId="7BBA61BF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>Diverse policies</w:t>
            </w:r>
          </w:p>
        </w:tc>
        <w:tc>
          <w:tcPr>
            <w:tcW w:w="1843" w:type="dxa"/>
            <w:shd w:val="clear" w:color="auto" w:fill="auto"/>
            <w:hideMark/>
          </w:tcPr>
          <w:p w14:paraId="3844E2CF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</w:pPr>
            <w:r w:rsidRPr="005A0810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>Policies stimulate all three capacities of resilience, i.e. robustness, adaptability, transformability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5BDF3F1" w14:textId="20D730C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</w:pPr>
            <w:r w:rsidRPr="005A0810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>Policies addressing all three resilience capacities avoid situations in which farming systems are permanently locked in a robust but uns</w:t>
            </w:r>
            <w:r w:rsidRPr="004A3206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>ustainable situation. Or sit</w:t>
            </w:r>
            <w:r w:rsidRPr="00F50C19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>uations in which adapting and transforming systems are increasingly vulnerable</w:t>
            </w:r>
          </w:p>
        </w:tc>
        <w:tc>
          <w:tcPr>
            <w:tcW w:w="1701" w:type="dxa"/>
            <w:shd w:val="clear" w:color="auto" w:fill="auto"/>
            <w:hideMark/>
          </w:tcPr>
          <w:p w14:paraId="23444F1A" w14:textId="4DA728DB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>Policies that create a stable and safe environment in which experimentation and structural change for more sustainable agriculture is supported</w:t>
            </w:r>
          </w:p>
        </w:tc>
        <w:tc>
          <w:tcPr>
            <w:tcW w:w="1276" w:type="dxa"/>
            <w:shd w:val="clear" w:color="auto" w:fill="auto"/>
            <w:hideMark/>
          </w:tcPr>
          <w:p w14:paraId="0E9B572A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  <w:t>Governance</w:t>
            </w:r>
          </w:p>
        </w:tc>
        <w:tc>
          <w:tcPr>
            <w:tcW w:w="1134" w:type="dxa"/>
          </w:tcPr>
          <w:p w14:paraId="17FDE693" w14:textId="0C024948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375623"/>
                <w:sz w:val="18"/>
                <w:szCs w:val="18"/>
                <w:lang w:val="en-GB" w:eastAsia="nl-NL"/>
              </w:rPr>
            </w:pPr>
            <w:r w:rsidRPr="007779AE">
              <w:rPr>
                <w:rFonts w:ascii="Calibri" w:hAnsi="Calibri" w:cs="Calibri"/>
                <w:b/>
                <w:bCs/>
                <w:color w:val="375623"/>
                <w:sz w:val="18"/>
                <w:szCs w:val="18"/>
                <w:lang w:val="en-GB"/>
              </w:rPr>
              <w:t>Diversity</w:t>
            </w:r>
          </w:p>
        </w:tc>
      </w:tr>
      <w:tr w:rsidR="006F38FF" w:rsidRPr="00F50C19" w14:paraId="3CEE4579" w14:textId="02836368" w:rsidTr="006C0B7E">
        <w:trPr>
          <w:trHeight w:val="2100"/>
        </w:trPr>
        <w:tc>
          <w:tcPr>
            <w:tcW w:w="1271" w:type="dxa"/>
            <w:shd w:val="clear" w:color="auto" w:fill="auto"/>
            <w:hideMark/>
          </w:tcPr>
          <w:p w14:paraId="532670C5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Ecologically self-regulated</w:t>
            </w:r>
          </w:p>
        </w:tc>
        <w:tc>
          <w:tcPr>
            <w:tcW w:w="1843" w:type="dxa"/>
            <w:shd w:val="clear" w:color="auto" w:fill="auto"/>
            <w:hideMark/>
          </w:tcPr>
          <w:p w14:paraId="04C115B4" w14:textId="2E48DC09" w:rsidR="006F38FF" w:rsidRPr="005A0810" w:rsidRDefault="40793880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551F297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Ecological components self</w:t>
            </w:r>
            <w:r w:rsidR="34928AD3" w:rsidRPr="551F297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-</w:t>
            </w:r>
            <w:r w:rsidRPr="551F297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regulate via stabilizing feedback mechanisms that send information back to the controlling elements</w:t>
            </w:r>
          </w:p>
        </w:tc>
        <w:tc>
          <w:tcPr>
            <w:tcW w:w="2268" w:type="dxa"/>
            <w:shd w:val="clear" w:color="auto" w:fill="auto"/>
            <w:hideMark/>
          </w:tcPr>
          <w:p w14:paraId="7E6A4F96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4A320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 xml:space="preserve">A greater degree of ecological self-regulation can reduce the amount of external inputs required to maintain a </w:t>
            </w:r>
            <w:r w:rsidRPr="00F50C1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system, such as nutrients, water, and energy</w:t>
            </w:r>
          </w:p>
        </w:tc>
        <w:tc>
          <w:tcPr>
            <w:tcW w:w="1701" w:type="dxa"/>
            <w:shd w:val="clear" w:color="auto" w:fill="auto"/>
            <w:hideMark/>
          </w:tcPr>
          <w:p w14:paraId="4F7C2C58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 xml:space="preserve">Farms maintain plant cover and incorporate more perennials, provide habitat for predators and </w:t>
            </w:r>
            <w:proofErr w:type="spellStart"/>
            <w:r w:rsidRPr="00F50C1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parasitoids</w:t>
            </w:r>
            <w:proofErr w:type="spellEnd"/>
            <w:r w:rsidRPr="00F50C1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, use ecosystem engineers, and align production with local ecological parameters</w:t>
            </w:r>
          </w:p>
        </w:tc>
        <w:tc>
          <w:tcPr>
            <w:tcW w:w="1276" w:type="dxa"/>
            <w:shd w:val="clear" w:color="auto" w:fill="auto"/>
            <w:hideMark/>
          </w:tcPr>
          <w:p w14:paraId="69BE19BD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Agricultural production</w:t>
            </w:r>
          </w:p>
        </w:tc>
        <w:tc>
          <w:tcPr>
            <w:tcW w:w="1134" w:type="dxa"/>
          </w:tcPr>
          <w:p w14:paraId="058943A2" w14:textId="4EC2081A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7779AE">
              <w:rPr>
                <w:rFonts w:ascii="Calibri" w:hAnsi="Calibri" w:cs="Calibri"/>
                <w:color w:val="FF0000"/>
                <w:sz w:val="18"/>
                <w:szCs w:val="18"/>
                <w:lang w:val="en-GB"/>
              </w:rPr>
              <w:t>Tightness of feedbacks</w:t>
            </w:r>
          </w:p>
        </w:tc>
      </w:tr>
      <w:tr w:rsidR="006F38FF" w:rsidRPr="00F50C19" w14:paraId="371B35EF" w14:textId="7DF44FD4" w:rsidTr="006C0B7E">
        <w:trPr>
          <w:trHeight w:val="1451"/>
        </w:trPr>
        <w:tc>
          <w:tcPr>
            <w:tcW w:w="1271" w:type="dxa"/>
            <w:shd w:val="clear" w:color="auto" w:fill="auto"/>
            <w:hideMark/>
          </w:tcPr>
          <w:p w14:paraId="1BEBF652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GB" w:eastAsia="nl-NL"/>
              </w:rPr>
              <w:lastRenderedPageBreak/>
              <w:t xml:space="preserve">Optimally redundant </w:t>
            </w:r>
            <w:r w:rsidRPr="005A081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val="en-GB" w:eastAsia="nl-NL"/>
              </w:rPr>
              <w:t>(crops)</w:t>
            </w:r>
          </w:p>
        </w:tc>
        <w:tc>
          <w:tcPr>
            <w:tcW w:w="1843" w:type="dxa"/>
            <w:shd w:val="clear" w:color="auto" w:fill="auto"/>
            <w:hideMark/>
          </w:tcPr>
          <w:p w14:paraId="46556694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GB" w:eastAsia="nl-NL"/>
              </w:rPr>
            </w:pPr>
            <w:r w:rsidRPr="005A0810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GB" w:eastAsia="nl-NL"/>
              </w:rPr>
              <w:t>Critical components and relationships within the system are duplicated in case of failure</w:t>
            </w:r>
          </w:p>
        </w:tc>
        <w:tc>
          <w:tcPr>
            <w:tcW w:w="2268" w:type="dxa"/>
            <w:shd w:val="clear" w:color="auto" w:fill="auto"/>
            <w:hideMark/>
          </w:tcPr>
          <w:p w14:paraId="554D1DD9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GB" w:eastAsia="nl-NL"/>
              </w:rPr>
            </w:pPr>
            <w:r w:rsidRPr="005A0810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GB" w:eastAsia="nl-NL"/>
              </w:rPr>
              <w:t>Also called response diversity; redundancy may decrease a system’s efficiency, but it gives the system multiple bac</w:t>
            </w:r>
            <w:r w:rsidRPr="004A3206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GB" w:eastAsia="nl-NL"/>
              </w:rPr>
              <w:t>k-ups, increases buffer</w:t>
            </w:r>
            <w:r w:rsidRPr="00F50C19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GB" w:eastAsia="nl-NL"/>
              </w:rPr>
              <w:t>ing capacity, and provides seeds of renewal following disturbance</w:t>
            </w:r>
          </w:p>
        </w:tc>
        <w:tc>
          <w:tcPr>
            <w:tcW w:w="1701" w:type="dxa"/>
            <w:shd w:val="clear" w:color="auto" w:fill="auto"/>
            <w:hideMark/>
          </w:tcPr>
          <w:p w14:paraId="0A7EDEC2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GB" w:eastAsia="nl-NL"/>
              </w:rPr>
              <w:t>Planting multiple varieties per crop rather than one, keeping equipment for various crops</w:t>
            </w:r>
          </w:p>
        </w:tc>
        <w:tc>
          <w:tcPr>
            <w:tcW w:w="1276" w:type="dxa"/>
            <w:shd w:val="clear" w:color="auto" w:fill="auto"/>
            <w:hideMark/>
          </w:tcPr>
          <w:p w14:paraId="4034728C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GB" w:eastAsia="nl-NL"/>
              </w:rPr>
              <w:t>Risk management</w:t>
            </w:r>
          </w:p>
        </w:tc>
        <w:tc>
          <w:tcPr>
            <w:tcW w:w="1134" w:type="dxa"/>
          </w:tcPr>
          <w:p w14:paraId="20A76EC5" w14:textId="04BDA916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GB" w:eastAsia="nl-NL"/>
              </w:rPr>
            </w:pPr>
            <w:r w:rsidRPr="007779AE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en-GB"/>
              </w:rPr>
              <w:t>Modularity</w:t>
            </w:r>
          </w:p>
        </w:tc>
      </w:tr>
      <w:tr w:rsidR="006F38FF" w:rsidRPr="00F50C19" w14:paraId="26F0C5A8" w14:textId="5251425F" w:rsidTr="006C0B7E">
        <w:trPr>
          <w:trHeight w:val="1601"/>
        </w:trPr>
        <w:tc>
          <w:tcPr>
            <w:tcW w:w="1271" w:type="dxa"/>
            <w:shd w:val="clear" w:color="auto" w:fill="auto"/>
            <w:hideMark/>
          </w:tcPr>
          <w:p w14:paraId="29F0D9D5" w14:textId="5F2D5C71" w:rsidR="006F38FF" w:rsidRPr="005A0810" w:rsidRDefault="44A6C3A1" w:rsidP="32CB59D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GB" w:eastAsia="nl-NL"/>
              </w:rPr>
            </w:pPr>
            <w:r w:rsidRPr="32CB59DC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GB" w:eastAsia="nl-NL"/>
              </w:rPr>
              <w:t xml:space="preserve">Optimally redundant </w:t>
            </w:r>
            <w:r w:rsidRPr="32CB59D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val="en-GB" w:eastAsia="nl-NL"/>
              </w:rPr>
              <w:t>(nutrients</w:t>
            </w:r>
            <w:r w:rsidR="32FD4E35" w:rsidRPr="32CB59D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val="en-GB" w:eastAsia="nl-NL"/>
              </w:rPr>
              <w:t xml:space="preserve"> </w:t>
            </w:r>
            <w:r w:rsidRPr="32CB59D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val="en-GB" w:eastAsia="nl-NL"/>
              </w:rPr>
              <w:t>&amp;</w:t>
            </w:r>
            <w:r w:rsidR="32FD4E35" w:rsidRPr="32CB59D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val="en-GB" w:eastAsia="nl-NL"/>
              </w:rPr>
              <w:t xml:space="preserve"> </w:t>
            </w:r>
            <w:r w:rsidRPr="32CB59D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val="en-GB" w:eastAsia="nl-NL"/>
              </w:rPr>
              <w:t>water)</w:t>
            </w:r>
          </w:p>
        </w:tc>
        <w:tc>
          <w:tcPr>
            <w:tcW w:w="1843" w:type="dxa"/>
            <w:shd w:val="clear" w:color="auto" w:fill="auto"/>
            <w:hideMark/>
          </w:tcPr>
          <w:p w14:paraId="17E18936" w14:textId="77777777" w:rsidR="006F38FF" w:rsidRPr="004A3206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GB" w:eastAsia="nl-NL"/>
              </w:rPr>
            </w:pPr>
            <w:r w:rsidRPr="005A0810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GB" w:eastAsia="nl-NL"/>
              </w:rPr>
              <w:t>Critical components and relationships within the system are duplicated in case of failure</w:t>
            </w:r>
          </w:p>
        </w:tc>
        <w:tc>
          <w:tcPr>
            <w:tcW w:w="2268" w:type="dxa"/>
            <w:shd w:val="clear" w:color="auto" w:fill="auto"/>
            <w:hideMark/>
          </w:tcPr>
          <w:p w14:paraId="4259A55F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GB" w:eastAsia="nl-NL"/>
              </w:rPr>
              <w:t>Also called response diversity; redundancy may decrease a system’s efficiency, but it gives the system multiple back-ups, increases buffering capacity, and provides seeds of renewal following disturbance</w:t>
            </w:r>
          </w:p>
        </w:tc>
        <w:tc>
          <w:tcPr>
            <w:tcW w:w="1701" w:type="dxa"/>
            <w:shd w:val="clear" w:color="auto" w:fill="auto"/>
            <w:hideMark/>
          </w:tcPr>
          <w:p w14:paraId="042A15AB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GB" w:eastAsia="nl-NL"/>
              </w:rPr>
              <w:t>Getting nutrients and water from multiple sources.</w:t>
            </w:r>
          </w:p>
        </w:tc>
        <w:tc>
          <w:tcPr>
            <w:tcW w:w="1276" w:type="dxa"/>
            <w:shd w:val="clear" w:color="auto" w:fill="auto"/>
            <w:hideMark/>
          </w:tcPr>
          <w:p w14:paraId="5D8DE0AA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GB" w:eastAsia="nl-NL"/>
              </w:rPr>
              <w:t>Risk management</w:t>
            </w:r>
          </w:p>
        </w:tc>
        <w:tc>
          <w:tcPr>
            <w:tcW w:w="1134" w:type="dxa"/>
          </w:tcPr>
          <w:p w14:paraId="126C294E" w14:textId="7B0C6A16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GB" w:eastAsia="nl-NL"/>
              </w:rPr>
            </w:pPr>
            <w:r w:rsidRPr="007779AE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en-GB"/>
              </w:rPr>
              <w:t>Modularity</w:t>
            </w:r>
          </w:p>
        </w:tc>
      </w:tr>
      <w:tr w:rsidR="006F38FF" w:rsidRPr="00F50C19" w14:paraId="2AE5278F" w14:textId="5A79534D" w:rsidTr="006C0B7E">
        <w:trPr>
          <w:trHeight w:val="1840"/>
        </w:trPr>
        <w:tc>
          <w:tcPr>
            <w:tcW w:w="1271" w:type="dxa"/>
            <w:shd w:val="clear" w:color="auto" w:fill="auto"/>
            <w:hideMark/>
          </w:tcPr>
          <w:p w14:paraId="7DDB8715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 xml:space="preserve">Spatial and temporal heterogeneity </w:t>
            </w:r>
            <w:r w:rsidRPr="005A0810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GB" w:eastAsia="nl-NL"/>
              </w:rPr>
              <w:t>(land use)</w:t>
            </w:r>
          </w:p>
        </w:tc>
        <w:tc>
          <w:tcPr>
            <w:tcW w:w="1843" w:type="dxa"/>
            <w:shd w:val="clear" w:color="auto" w:fill="auto"/>
            <w:hideMark/>
          </w:tcPr>
          <w:p w14:paraId="69DA34A6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5A081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Patchiness across the landscape and changes through time</w:t>
            </w:r>
          </w:p>
        </w:tc>
        <w:tc>
          <w:tcPr>
            <w:tcW w:w="2268" w:type="dxa"/>
            <w:shd w:val="clear" w:color="auto" w:fill="auto"/>
            <w:hideMark/>
          </w:tcPr>
          <w:p w14:paraId="7322C69A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5A081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 xml:space="preserve">Like diversity, spatial heterogeneity provides </w:t>
            </w:r>
            <w:r w:rsidRPr="004A320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 xml:space="preserve">seeds of </w:t>
            </w:r>
            <w:r w:rsidRPr="00F50C1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renewal following disturbance; through time, it allows patches to recover and restore nutrients</w:t>
            </w:r>
          </w:p>
        </w:tc>
        <w:tc>
          <w:tcPr>
            <w:tcW w:w="1701" w:type="dxa"/>
            <w:shd w:val="clear" w:color="auto" w:fill="auto"/>
            <w:hideMark/>
          </w:tcPr>
          <w:p w14:paraId="1829FD48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Diverse land use on the farm and across the landscape, mosaic pattern of managed and unmanaged land, diverse cultivation practices, crop rotations</w:t>
            </w:r>
          </w:p>
        </w:tc>
        <w:tc>
          <w:tcPr>
            <w:tcW w:w="1276" w:type="dxa"/>
            <w:shd w:val="clear" w:color="auto" w:fill="auto"/>
            <w:hideMark/>
          </w:tcPr>
          <w:p w14:paraId="1DE66609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Risk management</w:t>
            </w:r>
          </w:p>
        </w:tc>
        <w:tc>
          <w:tcPr>
            <w:tcW w:w="1134" w:type="dxa"/>
          </w:tcPr>
          <w:p w14:paraId="7B7D9320" w14:textId="264EB791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7779AE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  <w:lang w:val="en-GB"/>
              </w:rPr>
              <w:t>Modularity, diversity</w:t>
            </w:r>
          </w:p>
        </w:tc>
      </w:tr>
      <w:tr w:rsidR="006F38FF" w:rsidRPr="00F50C19" w14:paraId="53BCFB86" w14:textId="1B8230E2" w:rsidTr="006C0B7E">
        <w:trPr>
          <w:trHeight w:val="1557"/>
        </w:trPr>
        <w:tc>
          <w:tcPr>
            <w:tcW w:w="1271" w:type="dxa"/>
            <w:shd w:val="clear" w:color="auto" w:fill="auto"/>
            <w:hideMark/>
          </w:tcPr>
          <w:p w14:paraId="342B6CF2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GB" w:eastAsia="nl-NL"/>
              </w:rPr>
              <w:t>Optimally redundant</w:t>
            </w:r>
            <w:r w:rsidRPr="005A081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val="en-GB" w:eastAsia="nl-NL"/>
              </w:rPr>
              <w:t xml:space="preserve"> (labour)</w:t>
            </w:r>
          </w:p>
        </w:tc>
        <w:tc>
          <w:tcPr>
            <w:tcW w:w="1843" w:type="dxa"/>
            <w:shd w:val="clear" w:color="auto" w:fill="auto"/>
            <w:hideMark/>
          </w:tcPr>
          <w:p w14:paraId="00FF4B25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GB" w:eastAsia="nl-NL"/>
              </w:rPr>
            </w:pPr>
            <w:r w:rsidRPr="005A0810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GB" w:eastAsia="nl-NL"/>
              </w:rPr>
              <w:t>Critical components and relationships within the system are duplicated in case of failure</w:t>
            </w:r>
          </w:p>
        </w:tc>
        <w:tc>
          <w:tcPr>
            <w:tcW w:w="2268" w:type="dxa"/>
            <w:shd w:val="clear" w:color="auto" w:fill="auto"/>
            <w:hideMark/>
          </w:tcPr>
          <w:p w14:paraId="5CF28C01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GB" w:eastAsia="nl-NL"/>
              </w:rPr>
            </w:pPr>
            <w:r w:rsidRPr="004A3206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GB" w:eastAsia="nl-NL"/>
              </w:rPr>
              <w:t>Also called response diversity; redundancy may decrease a system’s efficiency, but it gives the system</w:t>
            </w:r>
            <w:r w:rsidRPr="00F50C19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val="en-GB" w:eastAsia="nl-NL"/>
              </w:rPr>
              <w:t xml:space="preserve"> multiple back-ups, increases buffering capacity, and provides seeds of renewal following disturbance</w:t>
            </w:r>
          </w:p>
        </w:tc>
        <w:tc>
          <w:tcPr>
            <w:tcW w:w="1701" w:type="dxa"/>
            <w:shd w:val="clear" w:color="auto" w:fill="auto"/>
            <w:hideMark/>
          </w:tcPr>
          <w:p w14:paraId="5FF1D9BB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val="en-GB" w:eastAsia="nl-NL"/>
              </w:rPr>
              <w:t>Labour comes from multiple sources</w:t>
            </w:r>
          </w:p>
        </w:tc>
        <w:tc>
          <w:tcPr>
            <w:tcW w:w="1276" w:type="dxa"/>
            <w:shd w:val="clear" w:color="auto" w:fill="auto"/>
            <w:hideMark/>
          </w:tcPr>
          <w:p w14:paraId="5C3AB84B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val="en-GB" w:eastAsia="nl-NL"/>
              </w:rPr>
              <w:t>Risk management; Farm demographics</w:t>
            </w:r>
          </w:p>
        </w:tc>
        <w:tc>
          <w:tcPr>
            <w:tcW w:w="1134" w:type="dxa"/>
          </w:tcPr>
          <w:p w14:paraId="6C9A041F" w14:textId="34E50CF8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val="en-GB" w:eastAsia="nl-NL"/>
              </w:rPr>
            </w:pPr>
            <w:r w:rsidRPr="007779AE">
              <w:rPr>
                <w:rFonts w:ascii="Calibri" w:hAnsi="Calibri" w:cs="Calibri"/>
                <w:b/>
                <w:bCs/>
                <w:i/>
                <w:iCs/>
                <w:color w:val="FF0000"/>
                <w:sz w:val="18"/>
                <w:szCs w:val="18"/>
                <w:lang w:val="en-GB"/>
              </w:rPr>
              <w:t>Modularity</w:t>
            </w:r>
          </w:p>
        </w:tc>
      </w:tr>
      <w:tr w:rsidR="006F38FF" w:rsidRPr="00F50C19" w14:paraId="696ADB08" w14:textId="6B9D180A" w:rsidTr="006C0B7E">
        <w:trPr>
          <w:trHeight w:val="2670"/>
        </w:trPr>
        <w:tc>
          <w:tcPr>
            <w:tcW w:w="1271" w:type="dxa"/>
            <w:shd w:val="clear" w:color="auto" w:fill="auto"/>
            <w:hideMark/>
          </w:tcPr>
          <w:p w14:paraId="140A1B33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Globally autonomous and locally interdependent</w:t>
            </w:r>
          </w:p>
        </w:tc>
        <w:tc>
          <w:tcPr>
            <w:tcW w:w="1843" w:type="dxa"/>
            <w:shd w:val="clear" w:color="auto" w:fill="auto"/>
            <w:hideMark/>
          </w:tcPr>
          <w:p w14:paraId="62C22CFF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5A081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The farming system has relative autonomy from exogenous control and influences and inhibits a high level of cooperation between individuals and institutions at the more local level</w:t>
            </w:r>
          </w:p>
        </w:tc>
        <w:tc>
          <w:tcPr>
            <w:tcW w:w="2268" w:type="dxa"/>
            <w:shd w:val="clear" w:color="auto" w:fill="auto"/>
            <w:hideMark/>
          </w:tcPr>
          <w:p w14:paraId="4E4518B0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4A320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 xml:space="preserve">A system cannot be entirely autonomous but it can strive to be less vulnerable to forces that are </w:t>
            </w:r>
            <w:r w:rsidRPr="00F50C1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outside its control; local interdependence can facilitate this by encouraging collaboration and cooperation rather than competition.</w:t>
            </w:r>
          </w:p>
        </w:tc>
        <w:tc>
          <w:tcPr>
            <w:tcW w:w="1701" w:type="dxa"/>
            <w:shd w:val="clear" w:color="auto" w:fill="auto"/>
            <w:hideMark/>
          </w:tcPr>
          <w:p w14:paraId="4BD100E9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Less reliance on commodity markets and reduced external inputs; more sales to local markets, reliance on local resources; existence of farmer co-ops, close relationships between producer and consumer, and shared resources such as equipment</w:t>
            </w:r>
          </w:p>
        </w:tc>
        <w:tc>
          <w:tcPr>
            <w:tcW w:w="1276" w:type="dxa"/>
            <w:shd w:val="clear" w:color="auto" w:fill="auto"/>
            <w:hideMark/>
          </w:tcPr>
          <w:p w14:paraId="2C1CD6D8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Governance, risk management</w:t>
            </w:r>
          </w:p>
        </w:tc>
        <w:tc>
          <w:tcPr>
            <w:tcW w:w="1134" w:type="dxa"/>
          </w:tcPr>
          <w:p w14:paraId="04B01E5D" w14:textId="522F5105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7779AE">
              <w:rPr>
                <w:rFonts w:ascii="Calibri" w:hAnsi="Calibri" w:cs="Calibri"/>
                <w:color w:val="FF0000"/>
                <w:sz w:val="18"/>
                <w:szCs w:val="18"/>
                <w:lang w:val="en-GB"/>
              </w:rPr>
              <w:t>Openness</w:t>
            </w:r>
          </w:p>
        </w:tc>
      </w:tr>
      <w:tr w:rsidR="006F38FF" w:rsidRPr="00F50C19" w14:paraId="48F1ED9C" w14:textId="73898A75" w:rsidTr="006C0B7E">
        <w:trPr>
          <w:trHeight w:val="3079"/>
        </w:trPr>
        <w:tc>
          <w:tcPr>
            <w:tcW w:w="1271" w:type="dxa"/>
            <w:shd w:val="clear" w:color="auto" w:fill="auto"/>
            <w:hideMark/>
          </w:tcPr>
          <w:p w14:paraId="4361B572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lastRenderedPageBreak/>
              <w:t>Reflective and shared learning</w:t>
            </w:r>
          </w:p>
        </w:tc>
        <w:tc>
          <w:tcPr>
            <w:tcW w:w="1843" w:type="dxa"/>
            <w:shd w:val="clear" w:color="auto" w:fill="auto"/>
            <w:hideMark/>
          </w:tcPr>
          <w:p w14:paraId="167AB3B4" w14:textId="63433133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5A081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Individuals and institutions learn</w:t>
            </w:r>
            <w:r w:rsidRPr="005A081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br/>
              <w:t>from past experiences and</w:t>
            </w:r>
            <w:r w:rsidR="00FA2ABF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 xml:space="preserve"> </w:t>
            </w:r>
            <w:r w:rsidRPr="005A081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present experimentation to</w:t>
            </w:r>
            <w:r w:rsidRPr="005A081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br/>
              <w:t>anticipate change and create</w:t>
            </w:r>
            <w:r w:rsidR="00FA2ABF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 xml:space="preserve"> </w:t>
            </w:r>
            <w:r w:rsidRPr="005A081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desirable futures</w:t>
            </w:r>
          </w:p>
        </w:tc>
        <w:tc>
          <w:tcPr>
            <w:tcW w:w="2268" w:type="dxa"/>
            <w:shd w:val="clear" w:color="auto" w:fill="auto"/>
            <w:hideMark/>
          </w:tcPr>
          <w:p w14:paraId="7C4CB955" w14:textId="04B5892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4A320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The more people and institutions</w:t>
            </w:r>
            <w:r w:rsidR="00FA2ABF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 xml:space="preserve"> </w:t>
            </w:r>
            <w:r w:rsidRPr="004A320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can learn from the past and from</w:t>
            </w:r>
            <w:r w:rsidR="00FA2ABF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 xml:space="preserve"> </w:t>
            </w:r>
            <w:r w:rsidRPr="004A320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each other, and share that</w:t>
            </w:r>
            <w:r w:rsidRPr="004A320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br/>
              <w:t xml:space="preserve">knowledge, the more capable the system is of adaptation and </w:t>
            </w:r>
            <w:r w:rsidR="00FA2ABF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t</w:t>
            </w:r>
            <w:r w:rsidRPr="004A320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ransformation, in other word</w:t>
            </w:r>
            <w:r w:rsidRPr="00F50C1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s,</w:t>
            </w:r>
            <w:r w:rsidR="00FA2ABF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 xml:space="preserve"> </w:t>
            </w:r>
            <w:r w:rsidRPr="00F50C1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more resilient</w:t>
            </w:r>
          </w:p>
        </w:tc>
        <w:tc>
          <w:tcPr>
            <w:tcW w:w="1701" w:type="dxa"/>
            <w:shd w:val="clear" w:color="auto" w:fill="auto"/>
            <w:hideMark/>
          </w:tcPr>
          <w:p w14:paraId="266EF3E2" w14:textId="3FDF9C9A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 xml:space="preserve">Extension and advisory services for farmers; collaboration between universities, research </w:t>
            </w:r>
            <w:proofErr w:type="spellStart"/>
            <w:r w:rsidRPr="00F50C1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centers</w:t>
            </w:r>
            <w:proofErr w:type="spellEnd"/>
            <w:r w:rsidRPr="00F50C1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 xml:space="preserve">, and </w:t>
            </w:r>
            <w:r w:rsidR="00FA2ABF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f</w:t>
            </w:r>
            <w:r w:rsidRPr="00F50C1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armers; cooperation and knowledge sharing between farmers; record keeping; baseline knowledge about the state of the agroecosystem</w:t>
            </w:r>
          </w:p>
        </w:tc>
        <w:tc>
          <w:tcPr>
            <w:tcW w:w="1276" w:type="dxa"/>
            <w:shd w:val="clear" w:color="auto" w:fill="auto"/>
            <w:hideMark/>
          </w:tcPr>
          <w:p w14:paraId="098EDE47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Governance</w:t>
            </w:r>
          </w:p>
        </w:tc>
        <w:tc>
          <w:tcPr>
            <w:tcW w:w="1134" w:type="dxa"/>
          </w:tcPr>
          <w:p w14:paraId="7E919EF0" w14:textId="7C441F3B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7779AE">
              <w:rPr>
                <w:rFonts w:ascii="Calibri" w:hAnsi="Calibri" w:cs="Calibri"/>
                <w:color w:val="FF0000"/>
                <w:sz w:val="18"/>
                <w:szCs w:val="18"/>
                <w:lang w:val="en-GB"/>
              </w:rPr>
              <w:t>Openness</w:t>
            </w:r>
          </w:p>
        </w:tc>
      </w:tr>
      <w:tr w:rsidR="006F38FF" w:rsidRPr="00F50C19" w14:paraId="7E24F3B3" w14:textId="338B67E1" w:rsidTr="006C0B7E">
        <w:trPr>
          <w:trHeight w:val="1788"/>
        </w:trPr>
        <w:tc>
          <w:tcPr>
            <w:tcW w:w="1271" w:type="dxa"/>
            <w:shd w:val="clear" w:color="auto" w:fill="auto"/>
            <w:hideMark/>
          </w:tcPr>
          <w:p w14:paraId="04354CC5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Honours legacy</w:t>
            </w:r>
          </w:p>
        </w:tc>
        <w:tc>
          <w:tcPr>
            <w:tcW w:w="1843" w:type="dxa"/>
            <w:shd w:val="clear" w:color="auto" w:fill="auto"/>
            <w:hideMark/>
          </w:tcPr>
          <w:p w14:paraId="0BCEE5E8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5A081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The current configuration and future trajectories of systems are influenced and informed by past conditions and experiences</w:t>
            </w:r>
          </w:p>
        </w:tc>
        <w:tc>
          <w:tcPr>
            <w:tcW w:w="2268" w:type="dxa"/>
            <w:shd w:val="clear" w:color="auto" w:fill="auto"/>
            <w:hideMark/>
          </w:tcPr>
          <w:p w14:paraId="1B569B92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5A081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 xml:space="preserve">Also known as path dependency, this relates to the biological and cultural memory embodied in a </w:t>
            </w:r>
            <w:r w:rsidRPr="004A320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system and it</w:t>
            </w:r>
            <w:r w:rsidRPr="00F50C1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s components</w:t>
            </w:r>
          </w:p>
        </w:tc>
        <w:tc>
          <w:tcPr>
            <w:tcW w:w="1701" w:type="dxa"/>
            <w:shd w:val="clear" w:color="auto" w:fill="auto"/>
            <w:hideMark/>
          </w:tcPr>
          <w:p w14:paraId="649B02E8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Maintenance of old varieties and engagement of elders, incorporation of traditional cultivation techniques with modern knowledge</w:t>
            </w:r>
          </w:p>
        </w:tc>
        <w:tc>
          <w:tcPr>
            <w:tcW w:w="1276" w:type="dxa"/>
            <w:shd w:val="clear" w:color="auto" w:fill="auto"/>
            <w:hideMark/>
          </w:tcPr>
          <w:p w14:paraId="29CB7A70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Governance</w:t>
            </w:r>
          </w:p>
        </w:tc>
        <w:tc>
          <w:tcPr>
            <w:tcW w:w="1134" w:type="dxa"/>
          </w:tcPr>
          <w:p w14:paraId="0E66E812" w14:textId="77777777" w:rsidR="006F38FF" w:rsidRPr="00F50C19" w:rsidRDefault="00055AEB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System reserves</w:t>
            </w:r>
          </w:p>
          <w:p w14:paraId="061D04F9" w14:textId="57C7286E" w:rsidR="00055AEB" w:rsidRPr="00F50C19" w:rsidRDefault="00055AEB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</w:p>
        </w:tc>
      </w:tr>
      <w:tr w:rsidR="006F38FF" w:rsidRPr="00F50C19" w14:paraId="6107578F" w14:textId="22547CF5" w:rsidTr="006C0B7E">
        <w:trPr>
          <w:trHeight w:val="2124"/>
        </w:trPr>
        <w:tc>
          <w:tcPr>
            <w:tcW w:w="1271" w:type="dxa"/>
            <w:shd w:val="clear" w:color="auto" w:fill="auto"/>
            <w:hideMark/>
          </w:tcPr>
          <w:p w14:paraId="6AA61223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Builds human capital</w:t>
            </w:r>
          </w:p>
        </w:tc>
        <w:tc>
          <w:tcPr>
            <w:tcW w:w="1843" w:type="dxa"/>
            <w:shd w:val="clear" w:color="auto" w:fill="auto"/>
            <w:hideMark/>
          </w:tcPr>
          <w:p w14:paraId="0012A927" w14:textId="77777777" w:rsidR="006F38FF" w:rsidRPr="005A0810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5A081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The farming system takes advantage of and builds resources that  can be mobilized through social relationships and membership in social networks</w:t>
            </w:r>
          </w:p>
        </w:tc>
        <w:tc>
          <w:tcPr>
            <w:tcW w:w="2268" w:type="dxa"/>
            <w:shd w:val="clear" w:color="auto" w:fill="auto"/>
            <w:hideMark/>
          </w:tcPr>
          <w:p w14:paraId="66EFE7E0" w14:textId="5E16ABBA" w:rsidR="006F38FF" w:rsidRPr="00F50C19" w:rsidRDefault="44A6C3A1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32CB59D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 xml:space="preserve">Human capital includes: constructed (economic activity, technology, infrastructure), cultural (individual skills and abilities), </w:t>
            </w:r>
            <w:r w:rsidR="17BD0F2A" w:rsidRPr="32CB59D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 xml:space="preserve">and </w:t>
            </w:r>
            <w:r w:rsidRPr="32CB59D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 xml:space="preserve">social </w:t>
            </w:r>
            <w:r w:rsidR="5D527A93" w:rsidRPr="32CB59D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 xml:space="preserve">capital </w:t>
            </w:r>
            <w:r w:rsidRPr="32CB59D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(social organizations, norms, formal and informal networks)</w:t>
            </w:r>
          </w:p>
        </w:tc>
        <w:tc>
          <w:tcPr>
            <w:tcW w:w="1701" w:type="dxa"/>
            <w:shd w:val="clear" w:color="auto" w:fill="auto"/>
            <w:hideMark/>
          </w:tcPr>
          <w:p w14:paraId="1C9F6AC0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Investment in infrastructure and institutions for the education of children and adults, support for social events in farming communities, programs for preservation of local knowledge</w:t>
            </w:r>
          </w:p>
        </w:tc>
        <w:tc>
          <w:tcPr>
            <w:tcW w:w="1276" w:type="dxa"/>
            <w:shd w:val="clear" w:color="auto" w:fill="auto"/>
            <w:hideMark/>
          </w:tcPr>
          <w:p w14:paraId="2ACEF7DB" w14:textId="77777777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F50C1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  <w:t>Governance</w:t>
            </w:r>
          </w:p>
        </w:tc>
        <w:tc>
          <w:tcPr>
            <w:tcW w:w="1134" w:type="dxa"/>
          </w:tcPr>
          <w:p w14:paraId="1E4A74D5" w14:textId="5C6F0248" w:rsidR="006F38FF" w:rsidRPr="00F50C19" w:rsidRDefault="006F38FF" w:rsidP="006F38F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nl-NL"/>
              </w:rPr>
            </w:pPr>
            <w:r w:rsidRPr="007779AE">
              <w:rPr>
                <w:rFonts w:ascii="Calibri" w:hAnsi="Calibri" w:cs="Calibri"/>
                <w:color w:val="FF0000"/>
                <w:sz w:val="18"/>
                <w:szCs w:val="18"/>
                <w:lang w:val="en-GB"/>
              </w:rPr>
              <w:t>System reserves</w:t>
            </w:r>
          </w:p>
        </w:tc>
      </w:tr>
    </w:tbl>
    <w:p w14:paraId="71B70255" w14:textId="77777777" w:rsidR="00FE19D1" w:rsidRPr="00F50C19" w:rsidRDefault="00FE19D1" w:rsidP="00FE19D1">
      <w:pPr>
        <w:rPr>
          <w:lang w:val="en-GB"/>
        </w:rPr>
      </w:pPr>
    </w:p>
    <w:sectPr w:rsidR="00FE19D1" w:rsidRPr="00F50C19" w:rsidSect="000C3CE1">
      <w:headerReference w:type="default" r:id="rId8"/>
      <w:footerReference w:type="default" r:id="rId9"/>
      <w:pgSz w:w="11906" w:h="16838"/>
      <w:pgMar w:top="2160" w:right="1296" w:bottom="216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38DD" w14:textId="77777777" w:rsidR="0081243C" w:rsidRDefault="0081243C" w:rsidP="003D6AC3">
      <w:r>
        <w:separator/>
      </w:r>
    </w:p>
  </w:endnote>
  <w:endnote w:type="continuationSeparator" w:id="0">
    <w:p w14:paraId="7136E758" w14:textId="77777777" w:rsidR="0081243C" w:rsidRDefault="0081243C" w:rsidP="003D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3564798"/>
      <w:docPartObj>
        <w:docPartGallery w:val="Page Numbers (Bottom of Page)"/>
        <w:docPartUnique/>
      </w:docPartObj>
    </w:sdtPr>
    <w:sdtEndPr/>
    <w:sdtContent>
      <w:p w14:paraId="3C5A8005" w14:textId="109BFD0D" w:rsidR="00027443" w:rsidRDefault="00027443" w:rsidP="00D322FD">
        <w:pPr>
          <w:pStyle w:val="Footer"/>
          <w:jc w:val="right"/>
          <w:rPr>
            <w:noProof/>
          </w:rPr>
        </w:pPr>
      </w:p>
      <w:p w14:paraId="76EE16A8" w14:textId="2819265E" w:rsidR="00027443" w:rsidRDefault="00027443" w:rsidP="00D322FD">
        <w:pPr>
          <w:pStyle w:val="Footer"/>
          <w:jc w:val="right"/>
          <w:rPr>
            <w:noProof/>
          </w:rPr>
        </w:pPr>
      </w:p>
      <w:p w14:paraId="26E818E1" w14:textId="75ACF08A" w:rsidR="00027443" w:rsidRDefault="00027443" w:rsidP="00D322FD">
        <w:pPr>
          <w:pStyle w:val="Footer"/>
          <w:jc w:val="right"/>
          <w:rPr>
            <w:noProof/>
          </w:rPr>
        </w:pPr>
      </w:p>
      <w:p w14:paraId="310F2E4E" w14:textId="71778675" w:rsidR="00027443" w:rsidRDefault="00027443" w:rsidP="00D322FD">
        <w:pPr>
          <w:pStyle w:val="Footer"/>
          <w:jc w:val="right"/>
        </w:pPr>
        <w:r>
          <w:rPr>
            <w:color w:val="4F6228" w:themeColor="accent3" w:themeShade="80"/>
          </w:rPr>
          <w:tab/>
        </w:r>
        <w:r>
          <w:rPr>
            <w:color w:val="4F6228" w:themeColor="accent3" w:themeShade="80"/>
          </w:rPr>
          <w:tab/>
        </w:r>
        <w:r>
          <w:rPr>
            <w:color w:val="4F6228" w:themeColor="accent3" w:themeShade="80"/>
          </w:rPr>
          <w:tab/>
        </w:r>
        <w:r>
          <w:rPr>
            <w:color w:val="4F6228" w:themeColor="accent3" w:themeShade="80"/>
          </w:rPr>
          <w:tab/>
        </w:r>
        <w:r w:rsidRPr="004D7736">
          <w:rPr>
            <w:color w:val="4F6228" w:themeColor="accent3" w:themeShade="80"/>
          </w:rPr>
          <w:fldChar w:fldCharType="begin"/>
        </w:r>
        <w:r w:rsidRPr="004D7736">
          <w:rPr>
            <w:color w:val="4F6228" w:themeColor="accent3" w:themeShade="80"/>
          </w:rPr>
          <w:instrText>PAGE   \* MERGEFORMAT</w:instrText>
        </w:r>
        <w:r w:rsidRPr="004D7736">
          <w:rPr>
            <w:color w:val="4F6228" w:themeColor="accent3" w:themeShade="80"/>
          </w:rPr>
          <w:fldChar w:fldCharType="separate"/>
        </w:r>
        <w:r w:rsidRPr="00421062">
          <w:rPr>
            <w:noProof/>
            <w:color w:val="4F6228" w:themeColor="accent3" w:themeShade="80"/>
            <w:lang w:val="es-ES"/>
          </w:rPr>
          <w:t>73</w:t>
        </w:r>
        <w:r w:rsidRPr="004D7736">
          <w:rPr>
            <w:color w:val="4F6228" w:themeColor="accent3" w:themeShade="80"/>
          </w:rPr>
          <w:fldChar w:fldCharType="end"/>
        </w:r>
      </w:p>
    </w:sdtContent>
  </w:sdt>
  <w:p w14:paraId="2E703383" w14:textId="77777777" w:rsidR="00027443" w:rsidRDefault="00027443" w:rsidP="003D6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9983" w14:textId="77777777" w:rsidR="0081243C" w:rsidRDefault="0081243C" w:rsidP="003D6AC3">
      <w:r>
        <w:separator/>
      </w:r>
    </w:p>
  </w:footnote>
  <w:footnote w:type="continuationSeparator" w:id="0">
    <w:p w14:paraId="1A240AF5" w14:textId="77777777" w:rsidR="0081243C" w:rsidRDefault="0081243C" w:rsidP="003D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286A" w14:textId="0F2CC0A4" w:rsidR="00027443" w:rsidRDefault="00027443" w:rsidP="004D7736">
    <w:pPr>
      <w:pStyle w:val="Header"/>
      <w:tabs>
        <w:tab w:val="clear" w:pos="4819"/>
        <w:tab w:val="clear" w:pos="9638"/>
        <w:tab w:val="center" w:pos="4657"/>
      </w:tabs>
      <w:rPr>
        <w:i/>
        <w:sz w:val="22"/>
        <w:szCs w:val="22"/>
      </w:rPr>
    </w:pPr>
  </w:p>
  <w:p w14:paraId="1DDA52BC" w14:textId="77777777" w:rsidR="00027443" w:rsidRDefault="00027443" w:rsidP="00E94709">
    <w:pPr>
      <w:pStyle w:val="Header"/>
      <w:tabs>
        <w:tab w:val="clear" w:pos="4819"/>
        <w:tab w:val="clear" w:pos="9638"/>
        <w:tab w:val="left" w:pos="11260"/>
      </w:tabs>
      <w:rPr>
        <w:i/>
        <w:sz w:val="22"/>
        <w:szCs w:val="22"/>
      </w:rPr>
    </w:pPr>
    <w:r>
      <w:rPr>
        <w:i/>
        <w:sz w:val="22"/>
        <w:szCs w:val="22"/>
      </w:rPr>
      <w:tab/>
    </w:r>
  </w:p>
  <w:p w14:paraId="5BA4C32C" w14:textId="45D172C5" w:rsidR="00027443" w:rsidRPr="004D7736" w:rsidRDefault="00027443" w:rsidP="002E64CB">
    <w:pPr>
      <w:pStyle w:val="Header"/>
      <w:tabs>
        <w:tab w:val="clear" w:pos="4819"/>
        <w:tab w:val="clear" w:pos="9638"/>
        <w:tab w:val="left" w:pos="1856"/>
      </w:tabs>
      <w:rPr>
        <w:i/>
        <w:sz w:val="22"/>
        <w:szCs w:val="22"/>
      </w:rPr>
    </w:pPr>
    <w:r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299"/>
    <w:multiLevelType w:val="hybridMultilevel"/>
    <w:tmpl w:val="C6A413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C102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A3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C6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A5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8D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83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49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24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9462AD"/>
    <w:multiLevelType w:val="hybridMultilevel"/>
    <w:tmpl w:val="C4CEB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28E6"/>
    <w:multiLevelType w:val="hybridMultilevel"/>
    <w:tmpl w:val="38DCD54A"/>
    <w:lvl w:ilvl="0" w:tplc="8D6AA86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74149"/>
    <w:multiLevelType w:val="hybridMultilevel"/>
    <w:tmpl w:val="B84A5C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235EF"/>
    <w:multiLevelType w:val="hybridMultilevel"/>
    <w:tmpl w:val="B41646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C6E01"/>
    <w:multiLevelType w:val="multilevel"/>
    <w:tmpl w:val="1AE29A9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8D76B8"/>
    <w:multiLevelType w:val="hybridMultilevel"/>
    <w:tmpl w:val="8A3C8600"/>
    <w:lvl w:ilvl="0" w:tplc="17F09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02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A3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C6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A5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8D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83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49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24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FD04B90"/>
    <w:multiLevelType w:val="hybridMultilevel"/>
    <w:tmpl w:val="7D48C2A0"/>
    <w:lvl w:ilvl="0" w:tplc="158E61A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B3E70"/>
    <w:multiLevelType w:val="hybridMultilevel"/>
    <w:tmpl w:val="4E0206F6"/>
    <w:lvl w:ilvl="0" w:tplc="0BA89B4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156AB"/>
    <w:multiLevelType w:val="hybridMultilevel"/>
    <w:tmpl w:val="81CCFBAE"/>
    <w:lvl w:ilvl="0" w:tplc="CB0E8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7008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A24D8"/>
    <w:multiLevelType w:val="hybridMultilevel"/>
    <w:tmpl w:val="59046E1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953C4C"/>
    <w:multiLevelType w:val="hybridMultilevel"/>
    <w:tmpl w:val="8CCABA24"/>
    <w:lvl w:ilvl="0" w:tplc="12326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0022E56"/>
    <w:multiLevelType w:val="hybridMultilevel"/>
    <w:tmpl w:val="BB702D06"/>
    <w:lvl w:ilvl="0" w:tplc="0CD0D476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02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A3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C6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A5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8D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83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49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24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3022D1C"/>
    <w:multiLevelType w:val="multilevel"/>
    <w:tmpl w:val="13BA36DE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lvlText w:val="%1.%2."/>
      <w:lvlJc w:val="left"/>
      <w:pPr>
        <w:ind w:left="1224" w:hanging="432"/>
      </w:p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15" w15:restartNumberingAfterBreak="0">
    <w:nsid w:val="242F65B8"/>
    <w:multiLevelType w:val="hybridMultilevel"/>
    <w:tmpl w:val="18F4C540"/>
    <w:lvl w:ilvl="0" w:tplc="D25EE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CF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60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29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21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6E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66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C3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81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3D73F3B"/>
    <w:multiLevelType w:val="hybridMultilevel"/>
    <w:tmpl w:val="ECAAC35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476B7"/>
    <w:multiLevelType w:val="hybridMultilevel"/>
    <w:tmpl w:val="43B276AE"/>
    <w:lvl w:ilvl="0" w:tplc="B704C9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E1BC0"/>
    <w:multiLevelType w:val="hybridMultilevel"/>
    <w:tmpl w:val="F38C0088"/>
    <w:lvl w:ilvl="0" w:tplc="7C78AF0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B6895"/>
    <w:multiLevelType w:val="hybridMultilevel"/>
    <w:tmpl w:val="E83CE028"/>
    <w:lvl w:ilvl="0" w:tplc="B3FE8E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848D0"/>
    <w:multiLevelType w:val="hybridMultilevel"/>
    <w:tmpl w:val="6CC07330"/>
    <w:lvl w:ilvl="0" w:tplc="5BEAB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C102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A3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C6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A5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8D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83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49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24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5703685"/>
    <w:multiLevelType w:val="hybridMultilevel"/>
    <w:tmpl w:val="FD74FDAA"/>
    <w:lvl w:ilvl="0" w:tplc="790C44A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D3653"/>
    <w:multiLevelType w:val="multilevel"/>
    <w:tmpl w:val="91B69D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A38363F"/>
    <w:multiLevelType w:val="hybridMultilevel"/>
    <w:tmpl w:val="C4CEB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273B4"/>
    <w:multiLevelType w:val="hybridMultilevel"/>
    <w:tmpl w:val="FDA684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16D20"/>
    <w:multiLevelType w:val="hybridMultilevel"/>
    <w:tmpl w:val="753872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014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B4C6945"/>
    <w:multiLevelType w:val="hybridMultilevel"/>
    <w:tmpl w:val="DFBE2FCE"/>
    <w:lvl w:ilvl="0" w:tplc="FFA4D500">
      <w:start w:val="3"/>
      <w:numFmt w:val="bullet"/>
      <w:lvlText w:val=""/>
      <w:lvlJc w:val="left"/>
      <w:pPr>
        <w:ind w:left="410" w:hanging="360"/>
      </w:pPr>
      <w:rPr>
        <w:rFonts w:ascii="Symbol" w:eastAsiaTheme="minorHAnsi" w:hAnsi="Symbol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556547524">
    <w:abstractNumId w:val="12"/>
  </w:num>
  <w:num w:numId="2" w16cid:durableId="1498032736">
    <w:abstractNumId w:val="9"/>
  </w:num>
  <w:num w:numId="3" w16cid:durableId="1977830477">
    <w:abstractNumId w:val="14"/>
  </w:num>
  <w:num w:numId="4" w16cid:durableId="1904759209">
    <w:abstractNumId w:val="25"/>
  </w:num>
  <w:num w:numId="5" w16cid:durableId="1950383562">
    <w:abstractNumId w:val="3"/>
  </w:num>
  <w:num w:numId="6" w16cid:durableId="2107262443">
    <w:abstractNumId w:val="4"/>
  </w:num>
  <w:num w:numId="7" w16cid:durableId="1580209508">
    <w:abstractNumId w:val="22"/>
  </w:num>
  <w:num w:numId="8" w16cid:durableId="15817814">
    <w:abstractNumId w:val="26"/>
  </w:num>
  <w:num w:numId="9" w16cid:durableId="889997137">
    <w:abstractNumId w:val="5"/>
  </w:num>
  <w:num w:numId="10" w16cid:durableId="555093749">
    <w:abstractNumId w:val="15"/>
  </w:num>
  <w:num w:numId="11" w16cid:durableId="1880968118">
    <w:abstractNumId w:val="6"/>
  </w:num>
  <w:num w:numId="12" w16cid:durableId="995960043">
    <w:abstractNumId w:val="13"/>
  </w:num>
  <w:num w:numId="13" w16cid:durableId="1302689490">
    <w:abstractNumId w:val="20"/>
  </w:num>
  <w:num w:numId="14" w16cid:durableId="476189696">
    <w:abstractNumId w:val="0"/>
  </w:num>
  <w:num w:numId="15" w16cid:durableId="112332841">
    <w:abstractNumId w:val="10"/>
  </w:num>
  <w:num w:numId="16" w16cid:durableId="581572400">
    <w:abstractNumId w:val="18"/>
  </w:num>
  <w:num w:numId="17" w16cid:durableId="796139341">
    <w:abstractNumId w:val="11"/>
  </w:num>
  <w:num w:numId="18" w16cid:durableId="4077704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638204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5898795">
    <w:abstractNumId w:val="7"/>
  </w:num>
  <w:num w:numId="21" w16cid:durableId="1370371497">
    <w:abstractNumId w:val="21"/>
  </w:num>
  <w:num w:numId="22" w16cid:durableId="16020317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8136741">
    <w:abstractNumId w:val="1"/>
  </w:num>
  <w:num w:numId="24" w16cid:durableId="1003556440">
    <w:abstractNumId w:val="19"/>
  </w:num>
  <w:num w:numId="25" w16cid:durableId="1657955755">
    <w:abstractNumId w:val="5"/>
    <w:lvlOverride w:ilvl="0">
      <w:startOverride w:val="5"/>
    </w:lvlOverride>
  </w:num>
  <w:num w:numId="26" w16cid:durableId="1088891374">
    <w:abstractNumId w:val="23"/>
  </w:num>
  <w:num w:numId="27" w16cid:durableId="704671961">
    <w:abstractNumId w:val="5"/>
  </w:num>
  <w:num w:numId="28" w16cid:durableId="158276036">
    <w:abstractNumId w:val="2"/>
  </w:num>
  <w:num w:numId="29" w16cid:durableId="434250376">
    <w:abstractNumId w:val="24"/>
  </w:num>
  <w:num w:numId="30" w16cid:durableId="1631665546">
    <w:abstractNumId w:val="16"/>
  </w:num>
  <w:num w:numId="31" w16cid:durableId="707996416">
    <w:abstractNumId w:val="27"/>
  </w:num>
  <w:num w:numId="32" w16cid:durableId="208541104">
    <w:abstractNumId w:val="8"/>
  </w:num>
  <w:num w:numId="33" w16cid:durableId="10614407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Agricultural Systems&lt;/Style&gt;&lt;LeftDelim&gt;{&lt;/LeftDelim&gt;&lt;RightDelim&gt;}&lt;/RightDelim&gt;&lt;FontName&gt;Calibri Light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xzza2r5eeszznev0wo5z5fet9srs2zw5pap&quot;&gt;Reidsma-Converted-Saved&lt;record-ids&gt;&lt;item&gt;48&lt;/item&gt;&lt;item&gt;680&lt;/item&gt;&lt;item&gt;787&lt;/item&gt;&lt;item&gt;1085&lt;/item&gt;&lt;item&gt;1330&lt;/item&gt;&lt;item&gt;1440&lt;/item&gt;&lt;item&gt;1489&lt;/item&gt;&lt;item&gt;1837&lt;/item&gt;&lt;item&gt;1847&lt;/item&gt;&lt;item&gt;1855&lt;/item&gt;&lt;item&gt;1858&lt;/item&gt;&lt;item&gt;1860&lt;/item&gt;&lt;item&gt;1872&lt;/item&gt;&lt;item&gt;1875&lt;/item&gt;&lt;item&gt;1876&lt;/item&gt;&lt;item&gt;1877&lt;/item&gt;&lt;item&gt;1878&lt;/item&gt;&lt;item&gt;1880&lt;/item&gt;&lt;item&gt;1882&lt;/item&gt;&lt;item&gt;1884&lt;/item&gt;&lt;item&gt;1885&lt;/item&gt;&lt;item&gt;1886&lt;/item&gt;&lt;item&gt;1887&lt;/item&gt;&lt;item&gt;1888&lt;/item&gt;&lt;item&gt;1889&lt;/item&gt;&lt;item&gt;1891&lt;/item&gt;&lt;item&gt;1897&lt;/item&gt;&lt;item&gt;1898&lt;/item&gt;&lt;item&gt;1920&lt;/item&gt;&lt;item&gt;1921&lt;/item&gt;&lt;item&gt;1922&lt;/item&gt;&lt;item&gt;1924&lt;/item&gt;&lt;item&gt;1927&lt;/item&gt;&lt;item&gt;1928&lt;/item&gt;&lt;item&gt;1929&lt;/item&gt;&lt;item&gt;1930&lt;/item&gt;&lt;item&gt;1932&lt;/item&gt;&lt;item&gt;1933&lt;/item&gt;&lt;item&gt;1949&lt;/item&gt;&lt;item&gt;1950&lt;/item&gt;&lt;item&gt;1963&lt;/item&gt;&lt;item&gt;1964&lt;/item&gt;&lt;item&gt;1965&lt;/item&gt;&lt;item&gt;1966&lt;/item&gt;&lt;item&gt;1968&lt;/item&gt;&lt;item&gt;1977&lt;/item&gt;&lt;item&gt;1978&lt;/item&gt;&lt;item&gt;1979&lt;/item&gt;&lt;item&gt;1980&lt;/item&gt;&lt;item&gt;1981&lt;/item&gt;&lt;item&gt;1983&lt;/item&gt;&lt;item&gt;1984&lt;/item&gt;&lt;item&gt;1985&lt;/item&gt;&lt;/record-ids&gt;&lt;/item&gt;&lt;/Libraries&gt;"/>
  </w:docVars>
  <w:rsids>
    <w:rsidRoot w:val="00F51F77"/>
    <w:rsid w:val="00004297"/>
    <w:rsid w:val="000051F4"/>
    <w:rsid w:val="00012D06"/>
    <w:rsid w:val="00013361"/>
    <w:rsid w:val="00014602"/>
    <w:rsid w:val="00021D27"/>
    <w:rsid w:val="00022AB0"/>
    <w:rsid w:val="00023C1D"/>
    <w:rsid w:val="00027443"/>
    <w:rsid w:val="00031A27"/>
    <w:rsid w:val="00035660"/>
    <w:rsid w:val="00036AB5"/>
    <w:rsid w:val="000375B4"/>
    <w:rsid w:val="00037B51"/>
    <w:rsid w:val="00037E18"/>
    <w:rsid w:val="00041FE5"/>
    <w:rsid w:val="000432F2"/>
    <w:rsid w:val="00046938"/>
    <w:rsid w:val="000512C3"/>
    <w:rsid w:val="000528CF"/>
    <w:rsid w:val="0005382F"/>
    <w:rsid w:val="00055453"/>
    <w:rsid w:val="00055AEB"/>
    <w:rsid w:val="00061ACE"/>
    <w:rsid w:val="000628AD"/>
    <w:rsid w:val="000669B8"/>
    <w:rsid w:val="00070AB7"/>
    <w:rsid w:val="00071D6D"/>
    <w:rsid w:val="0007412A"/>
    <w:rsid w:val="0007527D"/>
    <w:rsid w:val="000803BA"/>
    <w:rsid w:val="000821AD"/>
    <w:rsid w:val="00086A0C"/>
    <w:rsid w:val="00087368"/>
    <w:rsid w:val="00087FF1"/>
    <w:rsid w:val="00092914"/>
    <w:rsid w:val="00092C33"/>
    <w:rsid w:val="0009499F"/>
    <w:rsid w:val="00096D3A"/>
    <w:rsid w:val="0009751C"/>
    <w:rsid w:val="000A3C19"/>
    <w:rsid w:val="000A4102"/>
    <w:rsid w:val="000B1B51"/>
    <w:rsid w:val="000B27EA"/>
    <w:rsid w:val="000B3BE3"/>
    <w:rsid w:val="000B46C8"/>
    <w:rsid w:val="000C1C3F"/>
    <w:rsid w:val="000C3CE1"/>
    <w:rsid w:val="000D0ACB"/>
    <w:rsid w:val="000D1BED"/>
    <w:rsid w:val="000D338E"/>
    <w:rsid w:val="000E3710"/>
    <w:rsid w:val="000E3BFA"/>
    <w:rsid w:val="000E654E"/>
    <w:rsid w:val="000E6C7D"/>
    <w:rsid w:val="000F3CD2"/>
    <w:rsid w:val="000F5AB1"/>
    <w:rsid w:val="000F6E88"/>
    <w:rsid w:val="0010114A"/>
    <w:rsid w:val="001031BF"/>
    <w:rsid w:val="001039EC"/>
    <w:rsid w:val="001068EA"/>
    <w:rsid w:val="001076C3"/>
    <w:rsid w:val="00111CED"/>
    <w:rsid w:val="001153D4"/>
    <w:rsid w:val="00115465"/>
    <w:rsid w:val="001159BA"/>
    <w:rsid w:val="00117618"/>
    <w:rsid w:val="00120AA7"/>
    <w:rsid w:val="00121D4B"/>
    <w:rsid w:val="00122C8C"/>
    <w:rsid w:val="001232E5"/>
    <w:rsid w:val="00126966"/>
    <w:rsid w:val="001335E9"/>
    <w:rsid w:val="001357F0"/>
    <w:rsid w:val="00141FE2"/>
    <w:rsid w:val="00143716"/>
    <w:rsid w:val="00144970"/>
    <w:rsid w:val="00144FF1"/>
    <w:rsid w:val="00145EEB"/>
    <w:rsid w:val="00147B68"/>
    <w:rsid w:val="00152E2F"/>
    <w:rsid w:val="0015692A"/>
    <w:rsid w:val="0015793B"/>
    <w:rsid w:val="00157A25"/>
    <w:rsid w:val="00160DC4"/>
    <w:rsid w:val="00161707"/>
    <w:rsid w:val="001668D2"/>
    <w:rsid w:val="00172A2C"/>
    <w:rsid w:val="0017471C"/>
    <w:rsid w:val="0017556E"/>
    <w:rsid w:val="001777BD"/>
    <w:rsid w:val="001826A7"/>
    <w:rsid w:val="00182863"/>
    <w:rsid w:val="00185A80"/>
    <w:rsid w:val="00191713"/>
    <w:rsid w:val="001A1CC3"/>
    <w:rsid w:val="001A2E45"/>
    <w:rsid w:val="001A43DF"/>
    <w:rsid w:val="001A6624"/>
    <w:rsid w:val="001A70B3"/>
    <w:rsid w:val="001B1856"/>
    <w:rsid w:val="001B1F75"/>
    <w:rsid w:val="001B3E35"/>
    <w:rsid w:val="001C04B2"/>
    <w:rsid w:val="001C07B0"/>
    <w:rsid w:val="001C0BF8"/>
    <w:rsid w:val="001C0CE8"/>
    <w:rsid w:val="001C2C8A"/>
    <w:rsid w:val="001C3530"/>
    <w:rsid w:val="001C5B6E"/>
    <w:rsid w:val="001C63CC"/>
    <w:rsid w:val="001C74DF"/>
    <w:rsid w:val="001D0975"/>
    <w:rsid w:val="001D16FA"/>
    <w:rsid w:val="001D5FA2"/>
    <w:rsid w:val="001E5270"/>
    <w:rsid w:val="001E6522"/>
    <w:rsid w:val="001F1869"/>
    <w:rsid w:val="001F18C6"/>
    <w:rsid w:val="001F3CCD"/>
    <w:rsid w:val="001F5F71"/>
    <w:rsid w:val="001F5FFA"/>
    <w:rsid w:val="00205186"/>
    <w:rsid w:val="00205F09"/>
    <w:rsid w:val="00205FC8"/>
    <w:rsid w:val="0021281E"/>
    <w:rsid w:val="00212D8A"/>
    <w:rsid w:val="00214712"/>
    <w:rsid w:val="00214EDC"/>
    <w:rsid w:val="002164B4"/>
    <w:rsid w:val="00217741"/>
    <w:rsid w:val="00217F2B"/>
    <w:rsid w:val="002263E3"/>
    <w:rsid w:val="00231C5F"/>
    <w:rsid w:val="00234553"/>
    <w:rsid w:val="0023677B"/>
    <w:rsid w:val="002416C5"/>
    <w:rsid w:val="00242064"/>
    <w:rsid w:val="00242469"/>
    <w:rsid w:val="00243461"/>
    <w:rsid w:val="00243BCB"/>
    <w:rsid w:val="00245440"/>
    <w:rsid w:val="00245619"/>
    <w:rsid w:val="00245CDA"/>
    <w:rsid w:val="00246272"/>
    <w:rsid w:val="00247C43"/>
    <w:rsid w:val="00252BFA"/>
    <w:rsid w:val="002546DB"/>
    <w:rsid w:val="002553EE"/>
    <w:rsid w:val="00256B94"/>
    <w:rsid w:val="002628E5"/>
    <w:rsid w:val="0026322C"/>
    <w:rsid w:val="0026559E"/>
    <w:rsid w:val="00270048"/>
    <w:rsid w:val="00275AD1"/>
    <w:rsid w:val="0027762D"/>
    <w:rsid w:val="00277BC2"/>
    <w:rsid w:val="00280703"/>
    <w:rsid w:val="00285E23"/>
    <w:rsid w:val="00287225"/>
    <w:rsid w:val="002900C1"/>
    <w:rsid w:val="00292088"/>
    <w:rsid w:val="00294F34"/>
    <w:rsid w:val="00295281"/>
    <w:rsid w:val="00295416"/>
    <w:rsid w:val="00296606"/>
    <w:rsid w:val="002A0DB2"/>
    <w:rsid w:val="002A1E2C"/>
    <w:rsid w:val="002A3610"/>
    <w:rsid w:val="002A48F3"/>
    <w:rsid w:val="002A6621"/>
    <w:rsid w:val="002B2AAE"/>
    <w:rsid w:val="002B3D7B"/>
    <w:rsid w:val="002B3F9C"/>
    <w:rsid w:val="002B6BC4"/>
    <w:rsid w:val="002C056E"/>
    <w:rsid w:val="002C26EA"/>
    <w:rsid w:val="002C5A7E"/>
    <w:rsid w:val="002D1619"/>
    <w:rsid w:val="002D1F44"/>
    <w:rsid w:val="002D2334"/>
    <w:rsid w:val="002D267F"/>
    <w:rsid w:val="002D3261"/>
    <w:rsid w:val="002D3B86"/>
    <w:rsid w:val="002D403E"/>
    <w:rsid w:val="002D6316"/>
    <w:rsid w:val="002E0B6A"/>
    <w:rsid w:val="002E3D50"/>
    <w:rsid w:val="002E53D4"/>
    <w:rsid w:val="002E6033"/>
    <w:rsid w:val="002E64CB"/>
    <w:rsid w:val="002F2239"/>
    <w:rsid w:val="002F34C6"/>
    <w:rsid w:val="002F73E0"/>
    <w:rsid w:val="00301EBD"/>
    <w:rsid w:val="003062CC"/>
    <w:rsid w:val="00307C35"/>
    <w:rsid w:val="003106CB"/>
    <w:rsid w:val="00310D6F"/>
    <w:rsid w:val="00311EC3"/>
    <w:rsid w:val="0031351C"/>
    <w:rsid w:val="003150CB"/>
    <w:rsid w:val="003161E1"/>
    <w:rsid w:val="003179C0"/>
    <w:rsid w:val="00326DB9"/>
    <w:rsid w:val="00327F52"/>
    <w:rsid w:val="0033038E"/>
    <w:rsid w:val="00334C71"/>
    <w:rsid w:val="00335155"/>
    <w:rsid w:val="0034048F"/>
    <w:rsid w:val="003406C4"/>
    <w:rsid w:val="003418B5"/>
    <w:rsid w:val="0034356A"/>
    <w:rsid w:val="00350B58"/>
    <w:rsid w:val="00351B90"/>
    <w:rsid w:val="0035266F"/>
    <w:rsid w:val="00353611"/>
    <w:rsid w:val="00355C0E"/>
    <w:rsid w:val="0035690D"/>
    <w:rsid w:val="00356B42"/>
    <w:rsid w:val="00357659"/>
    <w:rsid w:val="0035772C"/>
    <w:rsid w:val="003605BD"/>
    <w:rsid w:val="00362CED"/>
    <w:rsid w:val="00363AEC"/>
    <w:rsid w:val="0036476A"/>
    <w:rsid w:val="00366885"/>
    <w:rsid w:val="00373B2D"/>
    <w:rsid w:val="00375E1D"/>
    <w:rsid w:val="00383415"/>
    <w:rsid w:val="00383926"/>
    <w:rsid w:val="00383C79"/>
    <w:rsid w:val="00385A97"/>
    <w:rsid w:val="00386B90"/>
    <w:rsid w:val="00386FF3"/>
    <w:rsid w:val="003870AD"/>
    <w:rsid w:val="003955A2"/>
    <w:rsid w:val="003A04B9"/>
    <w:rsid w:val="003B263F"/>
    <w:rsid w:val="003B4A9D"/>
    <w:rsid w:val="003B6034"/>
    <w:rsid w:val="003B64C7"/>
    <w:rsid w:val="003C2AB2"/>
    <w:rsid w:val="003D305B"/>
    <w:rsid w:val="003D36E6"/>
    <w:rsid w:val="003D6AC3"/>
    <w:rsid w:val="003E0968"/>
    <w:rsid w:val="003E130E"/>
    <w:rsid w:val="003E40FA"/>
    <w:rsid w:val="003E641F"/>
    <w:rsid w:val="003E6D6A"/>
    <w:rsid w:val="003F3716"/>
    <w:rsid w:val="003F464D"/>
    <w:rsid w:val="003F4A26"/>
    <w:rsid w:val="003F638B"/>
    <w:rsid w:val="00402234"/>
    <w:rsid w:val="00403A47"/>
    <w:rsid w:val="004067E0"/>
    <w:rsid w:val="00410E51"/>
    <w:rsid w:val="00412E76"/>
    <w:rsid w:val="00414AFB"/>
    <w:rsid w:val="0041544C"/>
    <w:rsid w:val="00416116"/>
    <w:rsid w:val="00416FBC"/>
    <w:rsid w:val="00421062"/>
    <w:rsid w:val="0042114B"/>
    <w:rsid w:val="004244FD"/>
    <w:rsid w:val="0042458B"/>
    <w:rsid w:val="00424A86"/>
    <w:rsid w:val="00425797"/>
    <w:rsid w:val="00426E8B"/>
    <w:rsid w:val="00427479"/>
    <w:rsid w:val="004318E2"/>
    <w:rsid w:val="0043387B"/>
    <w:rsid w:val="00434537"/>
    <w:rsid w:val="004377D1"/>
    <w:rsid w:val="004418CE"/>
    <w:rsid w:val="00441DFB"/>
    <w:rsid w:val="004479B5"/>
    <w:rsid w:val="00455C9F"/>
    <w:rsid w:val="00456BEC"/>
    <w:rsid w:val="00457F42"/>
    <w:rsid w:val="0046695E"/>
    <w:rsid w:val="00470897"/>
    <w:rsid w:val="0047256E"/>
    <w:rsid w:val="00474076"/>
    <w:rsid w:val="00475785"/>
    <w:rsid w:val="004774DA"/>
    <w:rsid w:val="00480084"/>
    <w:rsid w:val="00482961"/>
    <w:rsid w:val="00483B58"/>
    <w:rsid w:val="004846E4"/>
    <w:rsid w:val="0048621E"/>
    <w:rsid w:val="00490072"/>
    <w:rsid w:val="004927E2"/>
    <w:rsid w:val="00493BE7"/>
    <w:rsid w:val="00495A6A"/>
    <w:rsid w:val="004972D4"/>
    <w:rsid w:val="004A3206"/>
    <w:rsid w:val="004A62A9"/>
    <w:rsid w:val="004A78B4"/>
    <w:rsid w:val="004B202A"/>
    <w:rsid w:val="004B3149"/>
    <w:rsid w:val="004B541A"/>
    <w:rsid w:val="004C0963"/>
    <w:rsid w:val="004C49B7"/>
    <w:rsid w:val="004C7479"/>
    <w:rsid w:val="004D0BCE"/>
    <w:rsid w:val="004D4C78"/>
    <w:rsid w:val="004D65F7"/>
    <w:rsid w:val="004D7138"/>
    <w:rsid w:val="004D722E"/>
    <w:rsid w:val="004D7736"/>
    <w:rsid w:val="004E22B4"/>
    <w:rsid w:val="004E3258"/>
    <w:rsid w:val="004E55A6"/>
    <w:rsid w:val="004E7430"/>
    <w:rsid w:val="004E7839"/>
    <w:rsid w:val="004F06D9"/>
    <w:rsid w:val="004F1831"/>
    <w:rsid w:val="004F18E6"/>
    <w:rsid w:val="004F1BDD"/>
    <w:rsid w:val="004F7C66"/>
    <w:rsid w:val="004F7D56"/>
    <w:rsid w:val="005002BE"/>
    <w:rsid w:val="0050137B"/>
    <w:rsid w:val="005023FC"/>
    <w:rsid w:val="00503523"/>
    <w:rsid w:val="005044FB"/>
    <w:rsid w:val="00507D89"/>
    <w:rsid w:val="00514F07"/>
    <w:rsid w:val="00515B72"/>
    <w:rsid w:val="0051611C"/>
    <w:rsid w:val="00516EDF"/>
    <w:rsid w:val="00517E42"/>
    <w:rsid w:val="0052064B"/>
    <w:rsid w:val="00525F5C"/>
    <w:rsid w:val="00526612"/>
    <w:rsid w:val="005315B0"/>
    <w:rsid w:val="0053233B"/>
    <w:rsid w:val="005356AD"/>
    <w:rsid w:val="00535D7F"/>
    <w:rsid w:val="005363B1"/>
    <w:rsid w:val="00551732"/>
    <w:rsid w:val="00552ECB"/>
    <w:rsid w:val="00554FE8"/>
    <w:rsid w:val="00557D4C"/>
    <w:rsid w:val="00560362"/>
    <w:rsid w:val="00560E63"/>
    <w:rsid w:val="00562A1E"/>
    <w:rsid w:val="005649B0"/>
    <w:rsid w:val="0056626C"/>
    <w:rsid w:val="0056684A"/>
    <w:rsid w:val="0057241B"/>
    <w:rsid w:val="00574822"/>
    <w:rsid w:val="00580886"/>
    <w:rsid w:val="00581886"/>
    <w:rsid w:val="00582C8E"/>
    <w:rsid w:val="0058748A"/>
    <w:rsid w:val="00590A96"/>
    <w:rsid w:val="0059560B"/>
    <w:rsid w:val="00596DDB"/>
    <w:rsid w:val="005A01A7"/>
    <w:rsid w:val="005A0810"/>
    <w:rsid w:val="005A1805"/>
    <w:rsid w:val="005A3B3D"/>
    <w:rsid w:val="005A46EF"/>
    <w:rsid w:val="005A48FB"/>
    <w:rsid w:val="005A496C"/>
    <w:rsid w:val="005B5AF3"/>
    <w:rsid w:val="005B5C8B"/>
    <w:rsid w:val="005B6470"/>
    <w:rsid w:val="005B7317"/>
    <w:rsid w:val="005C030E"/>
    <w:rsid w:val="005C20D5"/>
    <w:rsid w:val="005C3EA8"/>
    <w:rsid w:val="005C51F2"/>
    <w:rsid w:val="005C5644"/>
    <w:rsid w:val="005C5B44"/>
    <w:rsid w:val="005D24D9"/>
    <w:rsid w:val="005D3A75"/>
    <w:rsid w:val="005D4117"/>
    <w:rsid w:val="005D4E1A"/>
    <w:rsid w:val="005D6AB1"/>
    <w:rsid w:val="005E0603"/>
    <w:rsid w:val="005E3528"/>
    <w:rsid w:val="005E4AC4"/>
    <w:rsid w:val="005E5715"/>
    <w:rsid w:val="005F5D53"/>
    <w:rsid w:val="00602067"/>
    <w:rsid w:val="00602C18"/>
    <w:rsid w:val="00603E96"/>
    <w:rsid w:val="00606F5C"/>
    <w:rsid w:val="00615EE7"/>
    <w:rsid w:val="00620032"/>
    <w:rsid w:val="00621178"/>
    <w:rsid w:val="00625557"/>
    <w:rsid w:val="00626D6D"/>
    <w:rsid w:val="00630254"/>
    <w:rsid w:val="00630523"/>
    <w:rsid w:val="00635367"/>
    <w:rsid w:val="006355AF"/>
    <w:rsid w:val="00635EF8"/>
    <w:rsid w:val="00636354"/>
    <w:rsid w:val="006367BB"/>
    <w:rsid w:val="006408C0"/>
    <w:rsid w:val="00640A0D"/>
    <w:rsid w:val="00641EA5"/>
    <w:rsid w:val="00642161"/>
    <w:rsid w:val="00642EFF"/>
    <w:rsid w:val="0064491D"/>
    <w:rsid w:val="00645428"/>
    <w:rsid w:val="00652ABF"/>
    <w:rsid w:val="00653EDC"/>
    <w:rsid w:val="00656FA3"/>
    <w:rsid w:val="006574A8"/>
    <w:rsid w:val="00660380"/>
    <w:rsid w:val="00660783"/>
    <w:rsid w:val="006620E7"/>
    <w:rsid w:val="00662F0F"/>
    <w:rsid w:val="0066421D"/>
    <w:rsid w:val="00666A1F"/>
    <w:rsid w:val="00670EE6"/>
    <w:rsid w:val="00670FB4"/>
    <w:rsid w:val="006710E6"/>
    <w:rsid w:val="0067214D"/>
    <w:rsid w:val="00673529"/>
    <w:rsid w:val="00674317"/>
    <w:rsid w:val="0067573E"/>
    <w:rsid w:val="00675786"/>
    <w:rsid w:val="00676C61"/>
    <w:rsid w:val="006776DD"/>
    <w:rsid w:val="006808E0"/>
    <w:rsid w:val="00681684"/>
    <w:rsid w:val="00681F27"/>
    <w:rsid w:val="00684906"/>
    <w:rsid w:val="00685D13"/>
    <w:rsid w:val="00685F0A"/>
    <w:rsid w:val="00687A2D"/>
    <w:rsid w:val="00695731"/>
    <w:rsid w:val="006A5FA2"/>
    <w:rsid w:val="006A7003"/>
    <w:rsid w:val="006A7235"/>
    <w:rsid w:val="006B22A9"/>
    <w:rsid w:val="006B3F16"/>
    <w:rsid w:val="006B457D"/>
    <w:rsid w:val="006B4DDF"/>
    <w:rsid w:val="006B54E2"/>
    <w:rsid w:val="006B6DAE"/>
    <w:rsid w:val="006C0B7E"/>
    <w:rsid w:val="006C2180"/>
    <w:rsid w:val="006C2A86"/>
    <w:rsid w:val="006C41DA"/>
    <w:rsid w:val="006C6A13"/>
    <w:rsid w:val="006D0AF9"/>
    <w:rsid w:val="006D2483"/>
    <w:rsid w:val="006D7E8F"/>
    <w:rsid w:val="006E3E89"/>
    <w:rsid w:val="006E6FF8"/>
    <w:rsid w:val="006E7DC2"/>
    <w:rsid w:val="006F1767"/>
    <w:rsid w:val="006F38FF"/>
    <w:rsid w:val="006F3C61"/>
    <w:rsid w:val="006F3F5D"/>
    <w:rsid w:val="006F4882"/>
    <w:rsid w:val="006F5C85"/>
    <w:rsid w:val="006F5C86"/>
    <w:rsid w:val="0070112B"/>
    <w:rsid w:val="00710F56"/>
    <w:rsid w:val="007147E1"/>
    <w:rsid w:val="007168EA"/>
    <w:rsid w:val="00716ED7"/>
    <w:rsid w:val="00720316"/>
    <w:rsid w:val="00722DF2"/>
    <w:rsid w:val="00723389"/>
    <w:rsid w:val="00723CE6"/>
    <w:rsid w:val="0072449B"/>
    <w:rsid w:val="0073078C"/>
    <w:rsid w:val="00731642"/>
    <w:rsid w:val="00731EBB"/>
    <w:rsid w:val="00733E2A"/>
    <w:rsid w:val="0073400B"/>
    <w:rsid w:val="00736838"/>
    <w:rsid w:val="00743E5F"/>
    <w:rsid w:val="007459B6"/>
    <w:rsid w:val="007513EF"/>
    <w:rsid w:val="00751A42"/>
    <w:rsid w:val="00752428"/>
    <w:rsid w:val="0075563C"/>
    <w:rsid w:val="0075584E"/>
    <w:rsid w:val="007574A2"/>
    <w:rsid w:val="0076044F"/>
    <w:rsid w:val="007622F1"/>
    <w:rsid w:val="007637E7"/>
    <w:rsid w:val="00764D50"/>
    <w:rsid w:val="007707B8"/>
    <w:rsid w:val="007740AA"/>
    <w:rsid w:val="007779AE"/>
    <w:rsid w:val="00785ADE"/>
    <w:rsid w:val="00786A9E"/>
    <w:rsid w:val="00786AA7"/>
    <w:rsid w:val="0079415E"/>
    <w:rsid w:val="00797859"/>
    <w:rsid w:val="007A01B7"/>
    <w:rsid w:val="007A06E2"/>
    <w:rsid w:val="007A1E1F"/>
    <w:rsid w:val="007A6459"/>
    <w:rsid w:val="007C089D"/>
    <w:rsid w:val="007C188D"/>
    <w:rsid w:val="007C1EFC"/>
    <w:rsid w:val="007C55AC"/>
    <w:rsid w:val="007C76C5"/>
    <w:rsid w:val="007D143A"/>
    <w:rsid w:val="007E012E"/>
    <w:rsid w:val="007E2391"/>
    <w:rsid w:val="007E60DC"/>
    <w:rsid w:val="007F0832"/>
    <w:rsid w:val="007F3203"/>
    <w:rsid w:val="007F5580"/>
    <w:rsid w:val="007F73AD"/>
    <w:rsid w:val="00803FA7"/>
    <w:rsid w:val="0080403E"/>
    <w:rsid w:val="0080552E"/>
    <w:rsid w:val="00806A52"/>
    <w:rsid w:val="00807555"/>
    <w:rsid w:val="008114F2"/>
    <w:rsid w:val="0081243C"/>
    <w:rsid w:val="0081363D"/>
    <w:rsid w:val="00813A53"/>
    <w:rsid w:val="0081651B"/>
    <w:rsid w:val="00816AFE"/>
    <w:rsid w:val="0081773E"/>
    <w:rsid w:val="0082128F"/>
    <w:rsid w:val="00822350"/>
    <w:rsid w:val="00823172"/>
    <w:rsid w:val="0082374A"/>
    <w:rsid w:val="00823B08"/>
    <w:rsid w:val="00827EEF"/>
    <w:rsid w:val="00833716"/>
    <w:rsid w:val="00833C96"/>
    <w:rsid w:val="00834AE6"/>
    <w:rsid w:val="0083735C"/>
    <w:rsid w:val="008400A5"/>
    <w:rsid w:val="00840545"/>
    <w:rsid w:val="0084114A"/>
    <w:rsid w:val="00841A2A"/>
    <w:rsid w:val="00846226"/>
    <w:rsid w:val="008526A9"/>
    <w:rsid w:val="00857482"/>
    <w:rsid w:val="008603FB"/>
    <w:rsid w:val="00861204"/>
    <w:rsid w:val="00862108"/>
    <w:rsid w:val="008637A5"/>
    <w:rsid w:val="00865582"/>
    <w:rsid w:val="00865F6E"/>
    <w:rsid w:val="008679F4"/>
    <w:rsid w:val="00867C0B"/>
    <w:rsid w:val="00872B93"/>
    <w:rsid w:val="00874373"/>
    <w:rsid w:val="00875A4D"/>
    <w:rsid w:val="008831EB"/>
    <w:rsid w:val="00885B2F"/>
    <w:rsid w:val="008A3707"/>
    <w:rsid w:val="008A61CD"/>
    <w:rsid w:val="008A77AC"/>
    <w:rsid w:val="008A7E34"/>
    <w:rsid w:val="008B090C"/>
    <w:rsid w:val="008B74FA"/>
    <w:rsid w:val="008C0986"/>
    <w:rsid w:val="008C0D26"/>
    <w:rsid w:val="008C1D52"/>
    <w:rsid w:val="008C6FA7"/>
    <w:rsid w:val="008D5923"/>
    <w:rsid w:val="008D7BAF"/>
    <w:rsid w:val="008E1AA6"/>
    <w:rsid w:val="008E22A0"/>
    <w:rsid w:val="008E26D3"/>
    <w:rsid w:val="008E3C3F"/>
    <w:rsid w:val="008E57A4"/>
    <w:rsid w:val="008F2B09"/>
    <w:rsid w:val="008F6615"/>
    <w:rsid w:val="008F7500"/>
    <w:rsid w:val="008F7836"/>
    <w:rsid w:val="008F7FE0"/>
    <w:rsid w:val="00900342"/>
    <w:rsid w:val="00903BC2"/>
    <w:rsid w:val="00904CBA"/>
    <w:rsid w:val="009075DC"/>
    <w:rsid w:val="00907D8E"/>
    <w:rsid w:val="0091015E"/>
    <w:rsid w:val="00911A23"/>
    <w:rsid w:val="009120BB"/>
    <w:rsid w:val="00920A53"/>
    <w:rsid w:val="009243D2"/>
    <w:rsid w:val="00927469"/>
    <w:rsid w:val="0092767C"/>
    <w:rsid w:val="00930CF0"/>
    <w:rsid w:val="009334A4"/>
    <w:rsid w:val="00934C90"/>
    <w:rsid w:val="0093507B"/>
    <w:rsid w:val="00943B9D"/>
    <w:rsid w:val="00945A44"/>
    <w:rsid w:val="00951777"/>
    <w:rsid w:val="009519A9"/>
    <w:rsid w:val="00953103"/>
    <w:rsid w:val="00954EEA"/>
    <w:rsid w:val="00954F3B"/>
    <w:rsid w:val="00956E6C"/>
    <w:rsid w:val="00957FC9"/>
    <w:rsid w:val="00960F8E"/>
    <w:rsid w:val="0096511F"/>
    <w:rsid w:val="00972C2A"/>
    <w:rsid w:val="00975EE5"/>
    <w:rsid w:val="00980E5D"/>
    <w:rsid w:val="00981EE2"/>
    <w:rsid w:val="00982BDD"/>
    <w:rsid w:val="0098483C"/>
    <w:rsid w:val="00984D99"/>
    <w:rsid w:val="009876A5"/>
    <w:rsid w:val="00987760"/>
    <w:rsid w:val="009918CF"/>
    <w:rsid w:val="00991E9F"/>
    <w:rsid w:val="00992703"/>
    <w:rsid w:val="00992F3C"/>
    <w:rsid w:val="009963CD"/>
    <w:rsid w:val="009A01C4"/>
    <w:rsid w:val="009A046D"/>
    <w:rsid w:val="009A05E0"/>
    <w:rsid w:val="009A517E"/>
    <w:rsid w:val="009A5379"/>
    <w:rsid w:val="009A5D57"/>
    <w:rsid w:val="009A6B52"/>
    <w:rsid w:val="009A7745"/>
    <w:rsid w:val="009B3B4C"/>
    <w:rsid w:val="009B4570"/>
    <w:rsid w:val="009B59ED"/>
    <w:rsid w:val="009B5B50"/>
    <w:rsid w:val="009B5E74"/>
    <w:rsid w:val="009C024E"/>
    <w:rsid w:val="009C1C16"/>
    <w:rsid w:val="009C2A75"/>
    <w:rsid w:val="009C4C58"/>
    <w:rsid w:val="009C7620"/>
    <w:rsid w:val="009C76D6"/>
    <w:rsid w:val="009C792C"/>
    <w:rsid w:val="009C7E14"/>
    <w:rsid w:val="009D27A7"/>
    <w:rsid w:val="009D27D6"/>
    <w:rsid w:val="009D4827"/>
    <w:rsid w:val="009D6043"/>
    <w:rsid w:val="009D6C3D"/>
    <w:rsid w:val="009D7B7A"/>
    <w:rsid w:val="009E4529"/>
    <w:rsid w:val="009E5628"/>
    <w:rsid w:val="009E6A4F"/>
    <w:rsid w:val="009F05D4"/>
    <w:rsid w:val="00A01A17"/>
    <w:rsid w:val="00A111B3"/>
    <w:rsid w:val="00A12E80"/>
    <w:rsid w:val="00A13ED2"/>
    <w:rsid w:val="00A143E1"/>
    <w:rsid w:val="00A21F9A"/>
    <w:rsid w:val="00A22ABB"/>
    <w:rsid w:val="00A24AD5"/>
    <w:rsid w:val="00A30F8F"/>
    <w:rsid w:val="00A33721"/>
    <w:rsid w:val="00A33849"/>
    <w:rsid w:val="00A34F72"/>
    <w:rsid w:val="00A36D7B"/>
    <w:rsid w:val="00A370A8"/>
    <w:rsid w:val="00A4023C"/>
    <w:rsid w:val="00A42FCC"/>
    <w:rsid w:val="00A431D1"/>
    <w:rsid w:val="00A43A38"/>
    <w:rsid w:val="00A475FE"/>
    <w:rsid w:val="00A52268"/>
    <w:rsid w:val="00A541BA"/>
    <w:rsid w:val="00A54F62"/>
    <w:rsid w:val="00A554D9"/>
    <w:rsid w:val="00A571CE"/>
    <w:rsid w:val="00A64471"/>
    <w:rsid w:val="00A65174"/>
    <w:rsid w:val="00A66337"/>
    <w:rsid w:val="00A72833"/>
    <w:rsid w:val="00A73FB2"/>
    <w:rsid w:val="00A759E9"/>
    <w:rsid w:val="00A77DCB"/>
    <w:rsid w:val="00A80AB0"/>
    <w:rsid w:val="00A81CBD"/>
    <w:rsid w:val="00A832A7"/>
    <w:rsid w:val="00A8338A"/>
    <w:rsid w:val="00A863E6"/>
    <w:rsid w:val="00A91543"/>
    <w:rsid w:val="00A92893"/>
    <w:rsid w:val="00A940AE"/>
    <w:rsid w:val="00A96AF6"/>
    <w:rsid w:val="00AA05B4"/>
    <w:rsid w:val="00AA2A3B"/>
    <w:rsid w:val="00AB17F8"/>
    <w:rsid w:val="00AB36AA"/>
    <w:rsid w:val="00AB5396"/>
    <w:rsid w:val="00AB570C"/>
    <w:rsid w:val="00AB6AF1"/>
    <w:rsid w:val="00AB718F"/>
    <w:rsid w:val="00AB7BA4"/>
    <w:rsid w:val="00AC042C"/>
    <w:rsid w:val="00AC3934"/>
    <w:rsid w:val="00AD167E"/>
    <w:rsid w:val="00AD59C6"/>
    <w:rsid w:val="00AE1FFD"/>
    <w:rsid w:val="00AE201D"/>
    <w:rsid w:val="00AE23A1"/>
    <w:rsid w:val="00AE27B0"/>
    <w:rsid w:val="00AE79E6"/>
    <w:rsid w:val="00AF512E"/>
    <w:rsid w:val="00AF523D"/>
    <w:rsid w:val="00B02C94"/>
    <w:rsid w:val="00B02F08"/>
    <w:rsid w:val="00B03C4B"/>
    <w:rsid w:val="00B03E3E"/>
    <w:rsid w:val="00B04948"/>
    <w:rsid w:val="00B0595B"/>
    <w:rsid w:val="00B061E5"/>
    <w:rsid w:val="00B06A1A"/>
    <w:rsid w:val="00B1246C"/>
    <w:rsid w:val="00B12945"/>
    <w:rsid w:val="00B137A7"/>
    <w:rsid w:val="00B13CE9"/>
    <w:rsid w:val="00B13DB7"/>
    <w:rsid w:val="00B14F12"/>
    <w:rsid w:val="00B16A2A"/>
    <w:rsid w:val="00B17F93"/>
    <w:rsid w:val="00B21EE3"/>
    <w:rsid w:val="00B2444A"/>
    <w:rsid w:val="00B26F73"/>
    <w:rsid w:val="00B30F62"/>
    <w:rsid w:val="00B33C1D"/>
    <w:rsid w:val="00B3546E"/>
    <w:rsid w:val="00B367C5"/>
    <w:rsid w:val="00B3798F"/>
    <w:rsid w:val="00B40B03"/>
    <w:rsid w:val="00B41C3F"/>
    <w:rsid w:val="00B43554"/>
    <w:rsid w:val="00B43E78"/>
    <w:rsid w:val="00B467B8"/>
    <w:rsid w:val="00B50DA9"/>
    <w:rsid w:val="00B539FF"/>
    <w:rsid w:val="00B605DF"/>
    <w:rsid w:val="00B63ABA"/>
    <w:rsid w:val="00B64725"/>
    <w:rsid w:val="00B70765"/>
    <w:rsid w:val="00B748DE"/>
    <w:rsid w:val="00B80933"/>
    <w:rsid w:val="00B80C9C"/>
    <w:rsid w:val="00B83D40"/>
    <w:rsid w:val="00B911AD"/>
    <w:rsid w:val="00B9223A"/>
    <w:rsid w:val="00B97E8A"/>
    <w:rsid w:val="00BA0214"/>
    <w:rsid w:val="00BA25FF"/>
    <w:rsid w:val="00BA3926"/>
    <w:rsid w:val="00BA39D5"/>
    <w:rsid w:val="00BB13D3"/>
    <w:rsid w:val="00BB1413"/>
    <w:rsid w:val="00BB288E"/>
    <w:rsid w:val="00BB2D35"/>
    <w:rsid w:val="00BB6770"/>
    <w:rsid w:val="00BB6C7C"/>
    <w:rsid w:val="00BB7532"/>
    <w:rsid w:val="00BC0A76"/>
    <w:rsid w:val="00BC1D8A"/>
    <w:rsid w:val="00BC36C8"/>
    <w:rsid w:val="00BC6177"/>
    <w:rsid w:val="00BC6F03"/>
    <w:rsid w:val="00BD0926"/>
    <w:rsid w:val="00BD1DA1"/>
    <w:rsid w:val="00BD2145"/>
    <w:rsid w:val="00BE0B46"/>
    <w:rsid w:val="00BF0FDB"/>
    <w:rsid w:val="00BF2350"/>
    <w:rsid w:val="00BF4584"/>
    <w:rsid w:val="00BF6E73"/>
    <w:rsid w:val="00BF78CD"/>
    <w:rsid w:val="00C0218D"/>
    <w:rsid w:val="00C02B16"/>
    <w:rsid w:val="00C03FDB"/>
    <w:rsid w:val="00C04DF4"/>
    <w:rsid w:val="00C066F0"/>
    <w:rsid w:val="00C11069"/>
    <w:rsid w:val="00C13B9D"/>
    <w:rsid w:val="00C14EC1"/>
    <w:rsid w:val="00C172A0"/>
    <w:rsid w:val="00C17837"/>
    <w:rsid w:val="00C22427"/>
    <w:rsid w:val="00C228E1"/>
    <w:rsid w:val="00C22B23"/>
    <w:rsid w:val="00C241A7"/>
    <w:rsid w:val="00C244EE"/>
    <w:rsid w:val="00C2696F"/>
    <w:rsid w:val="00C26F02"/>
    <w:rsid w:val="00C31FD4"/>
    <w:rsid w:val="00C40481"/>
    <w:rsid w:val="00C434E5"/>
    <w:rsid w:val="00C454E0"/>
    <w:rsid w:val="00C510A0"/>
    <w:rsid w:val="00C5623F"/>
    <w:rsid w:val="00C63DFB"/>
    <w:rsid w:val="00C6477C"/>
    <w:rsid w:val="00C655FD"/>
    <w:rsid w:val="00C7097B"/>
    <w:rsid w:val="00C727E8"/>
    <w:rsid w:val="00C72EA8"/>
    <w:rsid w:val="00C74A7F"/>
    <w:rsid w:val="00C775BB"/>
    <w:rsid w:val="00C802A5"/>
    <w:rsid w:val="00C80D65"/>
    <w:rsid w:val="00C81387"/>
    <w:rsid w:val="00C841EA"/>
    <w:rsid w:val="00C8601E"/>
    <w:rsid w:val="00C86ED5"/>
    <w:rsid w:val="00C90F34"/>
    <w:rsid w:val="00C91378"/>
    <w:rsid w:val="00C91485"/>
    <w:rsid w:val="00C95C1D"/>
    <w:rsid w:val="00CA08C5"/>
    <w:rsid w:val="00CA1773"/>
    <w:rsid w:val="00CA2B0D"/>
    <w:rsid w:val="00CA3DEC"/>
    <w:rsid w:val="00CA54BB"/>
    <w:rsid w:val="00CB0A18"/>
    <w:rsid w:val="00CB14E9"/>
    <w:rsid w:val="00CB3927"/>
    <w:rsid w:val="00CB5F84"/>
    <w:rsid w:val="00CB652C"/>
    <w:rsid w:val="00CC1323"/>
    <w:rsid w:val="00CC5C99"/>
    <w:rsid w:val="00CC6D11"/>
    <w:rsid w:val="00CD0DBD"/>
    <w:rsid w:val="00CE0FB2"/>
    <w:rsid w:val="00CE282A"/>
    <w:rsid w:val="00CE3F32"/>
    <w:rsid w:val="00CF0318"/>
    <w:rsid w:val="00CF1E3B"/>
    <w:rsid w:val="00CF500E"/>
    <w:rsid w:val="00CF633C"/>
    <w:rsid w:val="00CF786C"/>
    <w:rsid w:val="00CF7ADD"/>
    <w:rsid w:val="00D02A9B"/>
    <w:rsid w:val="00D060B7"/>
    <w:rsid w:val="00D12A1A"/>
    <w:rsid w:val="00D13098"/>
    <w:rsid w:val="00D133A8"/>
    <w:rsid w:val="00D156D2"/>
    <w:rsid w:val="00D165F1"/>
    <w:rsid w:val="00D200C5"/>
    <w:rsid w:val="00D23809"/>
    <w:rsid w:val="00D247E2"/>
    <w:rsid w:val="00D307CF"/>
    <w:rsid w:val="00D322FD"/>
    <w:rsid w:val="00D333FC"/>
    <w:rsid w:val="00D35643"/>
    <w:rsid w:val="00D37854"/>
    <w:rsid w:val="00D423CD"/>
    <w:rsid w:val="00D42DC6"/>
    <w:rsid w:val="00D453ED"/>
    <w:rsid w:val="00D4739B"/>
    <w:rsid w:val="00D535EF"/>
    <w:rsid w:val="00D61667"/>
    <w:rsid w:val="00D63E3A"/>
    <w:rsid w:val="00D71F86"/>
    <w:rsid w:val="00D81008"/>
    <w:rsid w:val="00D838F3"/>
    <w:rsid w:val="00D841F8"/>
    <w:rsid w:val="00D8680D"/>
    <w:rsid w:val="00D87A04"/>
    <w:rsid w:val="00D93E2A"/>
    <w:rsid w:val="00D94387"/>
    <w:rsid w:val="00D9725F"/>
    <w:rsid w:val="00D97559"/>
    <w:rsid w:val="00D97A78"/>
    <w:rsid w:val="00DA2098"/>
    <w:rsid w:val="00DA23D7"/>
    <w:rsid w:val="00DA2456"/>
    <w:rsid w:val="00DA3612"/>
    <w:rsid w:val="00DA5F17"/>
    <w:rsid w:val="00DA6B2C"/>
    <w:rsid w:val="00DA7DCC"/>
    <w:rsid w:val="00DB0A2F"/>
    <w:rsid w:val="00DB24BA"/>
    <w:rsid w:val="00DB2A97"/>
    <w:rsid w:val="00DB2FAB"/>
    <w:rsid w:val="00DB7039"/>
    <w:rsid w:val="00DC08E0"/>
    <w:rsid w:val="00DC2959"/>
    <w:rsid w:val="00DC44CA"/>
    <w:rsid w:val="00DC502C"/>
    <w:rsid w:val="00DC6A74"/>
    <w:rsid w:val="00DD0F9E"/>
    <w:rsid w:val="00DD3D8E"/>
    <w:rsid w:val="00DD415E"/>
    <w:rsid w:val="00DD5063"/>
    <w:rsid w:val="00DD5073"/>
    <w:rsid w:val="00DE0136"/>
    <w:rsid w:val="00DE445D"/>
    <w:rsid w:val="00DF04A5"/>
    <w:rsid w:val="00DF1359"/>
    <w:rsid w:val="00DF45F4"/>
    <w:rsid w:val="00E01A00"/>
    <w:rsid w:val="00E01CF8"/>
    <w:rsid w:val="00E024F2"/>
    <w:rsid w:val="00E02766"/>
    <w:rsid w:val="00E04470"/>
    <w:rsid w:val="00E04BCD"/>
    <w:rsid w:val="00E05E96"/>
    <w:rsid w:val="00E06F1F"/>
    <w:rsid w:val="00E173C9"/>
    <w:rsid w:val="00E1756D"/>
    <w:rsid w:val="00E17C4B"/>
    <w:rsid w:val="00E2164C"/>
    <w:rsid w:val="00E21766"/>
    <w:rsid w:val="00E224D8"/>
    <w:rsid w:val="00E24AF0"/>
    <w:rsid w:val="00E256A7"/>
    <w:rsid w:val="00E302EF"/>
    <w:rsid w:val="00E32E9D"/>
    <w:rsid w:val="00E3329E"/>
    <w:rsid w:val="00E36717"/>
    <w:rsid w:val="00E422E9"/>
    <w:rsid w:val="00E433F8"/>
    <w:rsid w:val="00E43F5F"/>
    <w:rsid w:val="00E44423"/>
    <w:rsid w:val="00E4799F"/>
    <w:rsid w:val="00E50004"/>
    <w:rsid w:val="00E53DCA"/>
    <w:rsid w:val="00E6071F"/>
    <w:rsid w:val="00E623DA"/>
    <w:rsid w:val="00E62E83"/>
    <w:rsid w:val="00E67F9C"/>
    <w:rsid w:val="00E73983"/>
    <w:rsid w:val="00E7465A"/>
    <w:rsid w:val="00E754CD"/>
    <w:rsid w:val="00E77372"/>
    <w:rsid w:val="00E80D8F"/>
    <w:rsid w:val="00E80FB1"/>
    <w:rsid w:val="00E85E4B"/>
    <w:rsid w:val="00E86D48"/>
    <w:rsid w:val="00E87FAE"/>
    <w:rsid w:val="00E90999"/>
    <w:rsid w:val="00E936FB"/>
    <w:rsid w:val="00E93AAB"/>
    <w:rsid w:val="00E94709"/>
    <w:rsid w:val="00E95814"/>
    <w:rsid w:val="00E96389"/>
    <w:rsid w:val="00E97BD1"/>
    <w:rsid w:val="00EA062D"/>
    <w:rsid w:val="00EA0E0A"/>
    <w:rsid w:val="00EA2EBA"/>
    <w:rsid w:val="00EA4A29"/>
    <w:rsid w:val="00EA6738"/>
    <w:rsid w:val="00EB0EE1"/>
    <w:rsid w:val="00EB2A53"/>
    <w:rsid w:val="00EB7EE6"/>
    <w:rsid w:val="00EC0AF7"/>
    <w:rsid w:val="00EC0D54"/>
    <w:rsid w:val="00EC1B54"/>
    <w:rsid w:val="00EC30F4"/>
    <w:rsid w:val="00EC45C3"/>
    <w:rsid w:val="00EC5175"/>
    <w:rsid w:val="00EC6029"/>
    <w:rsid w:val="00EC644E"/>
    <w:rsid w:val="00EC6AAB"/>
    <w:rsid w:val="00ED2380"/>
    <w:rsid w:val="00ED38E9"/>
    <w:rsid w:val="00ED4759"/>
    <w:rsid w:val="00ED5BCB"/>
    <w:rsid w:val="00ED6EC4"/>
    <w:rsid w:val="00EE007B"/>
    <w:rsid w:val="00EE0F6A"/>
    <w:rsid w:val="00EE291C"/>
    <w:rsid w:val="00EE442F"/>
    <w:rsid w:val="00EF0F50"/>
    <w:rsid w:val="00EF16DD"/>
    <w:rsid w:val="00EF306B"/>
    <w:rsid w:val="00EF69DA"/>
    <w:rsid w:val="00F00646"/>
    <w:rsid w:val="00F01134"/>
    <w:rsid w:val="00F02BEF"/>
    <w:rsid w:val="00F033CC"/>
    <w:rsid w:val="00F033F2"/>
    <w:rsid w:val="00F03E5F"/>
    <w:rsid w:val="00F05964"/>
    <w:rsid w:val="00F05D1B"/>
    <w:rsid w:val="00F11AE8"/>
    <w:rsid w:val="00F16504"/>
    <w:rsid w:val="00F21635"/>
    <w:rsid w:val="00F22D6D"/>
    <w:rsid w:val="00F23BBB"/>
    <w:rsid w:val="00F260B3"/>
    <w:rsid w:val="00F26C5F"/>
    <w:rsid w:val="00F31575"/>
    <w:rsid w:val="00F331F1"/>
    <w:rsid w:val="00F3499C"/>
    <w:rsid w:val="00F358DE"/>
    <w:rsid w:val="00F365BB"/>
    <w:rsid w:val="00F4063B"/>
    <w:rsid w:val="00F453B1"/>
    <w:rsid w:val="00F50C19"/>
    <w:rsid w:val="00F51F77"/>
    <w:rsid w:val="00F52A81"/>
    <w:rsid w:val="00F55CD0"/>
    <w:rsid w:val="00F61A38"/>
    <w:rsid w:val="00F62CC2"/>
    <w:rsid w:val="00F636F7"/>
    <w:rsid w:val="00F63916"/>
    <w:rsid w:val="00F64ACC"/>
    <w:rsid w:val="00F64B50"/>
    <w:rsid w:val="00F66763"/>
    <w:rsid w:val="00F66C00"/>
    <w:rsid w:val="00F66C29"/>
    <w:rsid w:val="00F67B65"/>
    <w:rsid w:val="00F72B3F"/>
    <w:rsid w:val="00F736B0"/>
    <w:rsid w:val="00F76709"/>
    <w:rsid w:val="00F7764B"/>
    <w:rsid w:val="00F84B72"/>
    <w:rsid w:val="00F85604"/>
    <w:rsid w:val="00F865E5"/>
    <w:rsid w:val="00F869CF"/>
    <w:rsid w:val="00F86CE8"/>
    <w:rsid w:val="00F90156"/>
    <w:rsid w:val="00F9665A"/>
    <w:rsid w:val="00FA2ABF"/>
    <w:rsid w:val="00FA2DCA"/>
    <w:rsid w:val="00FA751E"/>
    <w:rsid w:val="00FB18D4"/>
    <w:rsid w:val="00FB1D98"/>
    <w:rsid w:val="00FB337A"/>
    <w:rsid w:val="00FB4893"/>
    <w:rsid w:val="00FB54EC"/>
    <w:rsid w:val="00FB5575"/>
    <w:rsid w:val="00FB63A0"/>
    <w:rsid w:val="00FC3760"/>
    <w:rsid w:val="00FC43DC"/>
    <w:rsid w:val="00FC48A0"/>
    <w:rsid w:val="00FC6652"/>
    <w:rsid w:val="00FD2C1A"/>
    <w:rsid w:val="00FD2FCB"/>
    <w:rsid w:val="00FE19D1"/>
    <w:rsid w:val="00FE2368"/>
    <w:rsid w:val="00FE4121"/>
    <w:rsid w:val="00FE4932"/>
    <w:rsid w:val="00FE49F2"/>
    <w:rsid w:val="00FE6A8C"/>
    <w:rsid w:val="00FF0546"/>
    <w:rsid w:val="00FF162B"/>
    <w:rsid w:val="17BD0F2A"/>
    <w:rsid w:val="2ABEE44E"/>
    <w:rsid w:val="32CB59DC"/>
    <w:rsid w:val="32FD4E35"/>
    <w:rsid w:val="34928AD3"/>
    <w:rsid w:val="40793880"/>
    <w:rsid w:val="44A6C3A1"/>
    <w:rsid w:val="551F297C"/>
    <w:rsid w:val="5D52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A78E2F"/>
  <w15:docId w15:val="{6292B1D3-AD40-4AF2-9E85-691071A6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AC3"/>
    <w:pPr>
      <w:jc w:val="both"/>
    </w:pPr>
    <w:rPr>
      <w:rFonts w:ascii="Calibri Light" w:hAnsi="Calibri Light" w:cs="Calibri Light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9EC"/>
    <w:pPr>
      <w:keepNext/>
      <w:keepLines/>
      <w:numPr>
        <w:numId w:val="9"/>
      </w:numPr>
      <w:spacing w:before="240" w:after="240" w:line="259" w:lineRule="auto"/>
      <w:outlineLvl w:val="0"/>
    </w:pPr>
    <w:rPr>
      <w:rFonts w:eastAsiaTheme="majorEastAsia"/>
      <w:b/>
      <w:color w:val="4F6228" w:themeColor="accent3" w:themeShade="80"/>
      <w:sz w:val="26"/>
      <w:szCs w:val="2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039EC"/>
    <w:pPr>
      <w:numPr>
        <w:ilvl w:val="1"/>
      </w:numPr>
      <w:spacing w:before="120" w:after="120"/>
      <w:ind w:left="720"/>
      <w:outlineLvl w:val="1"/>
    </w:pPr>
    <w:rPr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9EC"/>
    <w:pPr>
      <w:keepNext/>
      <w:keepLines/>
      <w:numPr>
        <w:ilvl w:val="2"/>
        <w:numId w:val="9"/>
      </w:numPr>
      <w:spacing w:before="40" w:after="40" w:line="259" w:lineRule="auto"/>
      <w:ind w:hanging="274"/>
      <w:outlineLvl w:val="2"/>
    </w:pPr>
    <w:rPr>
      <w:rFonts w:eastAsiaTheme="majorEastAsia"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114B"/>
    <w:pPr>
      <w:keepNext/>
      <w:keepLines/>
      <w:numPr>
        <w:ilvl w:val="3"/>
        <w:numId w:val="9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14B"/>
    <w:pPr>
      <w:keepNext/>
      <w:keepLines/>
      <w:numPr>
        <w:ilvl w:val="4"/>
        <w:numId w:val="9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s-E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14B"/>
    <w:pPr>
      <w:keepNext/>
      <w:keepLines/>
      <w:numPr>
        <w:ilvl w:val="5"/>
        <w:numId w:val="9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14B"/>
    <w:pPr>
      <w:keepNext/>
      <w:keepLines/>
      <w:numPr>
        <w:ilvl w:val="6"/>
        <w:numId w:val="9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14B"/>
    <w:pPr>
      <w:keepNext/>
      <w:keepLines/>
      <w:numPr>
        <w:ilvl w:val="7"/>
        <w:numId w:val="9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14B"/>
    <w:pPr>
      <w:keepNext/>
      <w:keepLines/>
      <w:numPr>
        <w:ilvl w:val="8"/>
        <w:numId w:val="9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5B0"/>
  </w:style>
  <w:style w:type="paragraph" w:styleId="Footer">
    <w:name w:val="footer"/>
    <w:basedOn w:val="Normal"/>
    <w:link w:val="FooterChar"/>
    <w:uiPriority w:val="99"/>
    <w:unhideWhenUsed/>
    <w:rsid w:val="00531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5B0"/>
  </w:style>
  <w:style w:type="table" w:styleId="TableGrid">
    <w:name w:val="Table Grid"/>
    <w:basedOn w:val="TableNormal"/>
    <w:uiPriority w:val="39"/>
    <w:rsid w:val="00992F3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039EC"/>
    <w:rPr>
      <w:rFonts w:ascii="Calibri Light" w:eastAsiaTheme="majorEastAsia" w:hAnsi="Calibri Light" w:cs="Calibri Light"/>
      <w:b/>
      <w:color w:val="4F6228" w:themeColor="accent3" w:themeShade="80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9EC"/>
    <w:rPr>
      <w:rFonts w:ascii="Calibri Light" w:eastAsiaTheme="majorEastAsia" w:hAnsi="Calibri Light" w:cs="Calibri Light"/>
      <w:b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039EC"/>
    <w:rPr>
      <w:rFonts w:ascii="Calibri Light" w:eastAsiaTheme="majorEastAsia" w:hAnsi="Calibri Light" w:cs="Calibri Light"/>
      <w:sz w:val="26"/>
      <w:szCs w:val="26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rsid w:val="0042114B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14B"/>
    <w:rPr>
      <w:rFonts w:asciiTheme="majorHAnsi" w:eastAsiaTheme="majorEastAsia" w:hAnsiTheme="majorHAnsi" w:cstheme="majorBidi"/>
      <w:color w:val="365F91" w:themeColor="accent1" w:themeShade="BF"/>
      <w:lang w:val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14B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14B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1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1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70112B"/>
    <w:pPr>
      <w:numPr>
        <w:numId w:val="0"/>
      </w:numPr>
      <w:spacing w:before="480" w:line="276" w:lineRule="auto"/>
      <w:outlineLvl w:val="9"/>
    </w:pPr>
    <w:rPr>
      <w:rFonts w:asciiTheme="majorHAnsi" w:hAnsiTheme="majorHAnsi" w:cstheme="majorBidi"/>
      <w:bCs/>
      <w:color w:val="365F91" w:themeColor="accent1" w:themeShade="BF"/>
      <w:sz w:val="28"/>
      <w:szCs w:val="28"/>
      <w:lang w:val="es-ES" w:eastAsia="es-ES"/>
    </w:rPr>
  </w:style>
  <w:style w:type="paragraph" w:styleId="TOC1">
    <w:name w:val="toc 1"/>
    <w:basedOn w:val="Normal"/>
    <w:next w:val="Normal"/>
    <w:autoRedefine/>
    <w:uiPriority w:val="39"/>
    <w:unhideWhenUsed/>
    <w:rsid w:val="0070112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0112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0112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0112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6AB5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D02A9B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-boxedright--xs">
    <w:name w:val="h-boxedright--xs"/>
    <w:rsid w:val="00D02A9B"/>
  </w:style>
  <w:style w:type="character" w:styleId="CommentReference">
    <w:name w:val="annotation reference"/>
    <w:basedOn w:val="DefaultParagraphFont"/>
    <w:uiPriority w:val="99"/>
    <w:semiHidden/>
    <w:unhideWhenUsed/>
    <w:rsid w:val="00383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3415"/>
    <w:pPr>
      <w:spacing w:after="160" w:line="240" w:lineRule="auto"/>
      <w:jc w:val="left"/>
    </w:pPr>
    <w:rPr>
      <w:rFonts w:ascii="Verdana" w:hAnsi="Verdana" w:cstheme="minorBidi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3415"/>
    <w:rPr>
      <w:rFonts w:ascii="Verdana" w:hAnsi="Verdana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80"/>
    <w:pPr>
      <w:spacing w:after="200"/>
      <w:jc w:val="both"/>
    </w:pPr>
    <w:rPr>
      <w:rFonts w:ascii="Calibri Light" w:hAnsi="Calibri Light" w:cs="Calibri Light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80"/>
    <w:rPr>
      <w:rFonts w:ascii="Calibri Light" w:hAnsi="Calibri Light" w:cs="Calibri Light"/>
      <w:b/>
      <w:bCs/>
      <w:sz w:val="20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7779AE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779AE"/>
    <w:rPr>
      <w:rFonts w:ascii="Calibri Light" w:hAnsi="Calibri Light" w:cs="Calibri Light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779AE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779AE"/>
    <w:rPr>
      <w:rFonts w:ascii="Calibri Light" w:hAnsi="Calibri Light" w:cs="Calibri Light"/>
      <w:noProof/>
      <w:sz w:val="24"/>
      <w:szCs w:val="24"/>
      <w:lang w:val="en-US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7779AE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D3A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D3A"/>
    <w:rPr>
      <w:rFonts w:ascii="Calibri Light" w:hAnsi="Calibri Light" w:cs="Calibri Light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96D3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4693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3809"/>
    <w:pPr>
      <w:spacing w:after="0" w:line="240" w:lineRule="auto"/>
    </w:pPr>
    <w:rPr>
      <w:rFonts w:ascii="Calibri Light" w:hAnsi="Calibri Light" w:cs="Calibri Light"/>
      <w:sz w:val="24"/>
      <w:szCs w:val="24"/>
      <w:lang w:val="en-US"/>
    </w:rPr>
  </w:style>
  <w:style w:type="paragraph" w:customStyle="1" w:styleId="Default">
    <w:name w:val="Default"/>
    <w:rsid w:val="00FE49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dTable1Light">
    <w:name w:val="Grid Table 1 Light"/>
    <w:basedOn w:val="TableNormal"/>
    <w:uiPriority w:val="46"/>
    <w:rsid w:val="004318E2"/>
    <w:pPr>
      <w:spacing w:after="0" w:line="240" w:lineRule="auto"/>
    </w:pPr>
    <w:rPr>
      <w:lang w:val="nl-B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2A8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17618"/>
    <w:rPr>
      <w:color w:val="808080"/>
      <w:shd w:val="clear" w:color="auto" w:fill="E6E6E6"/>
    </w:rPr>
  </w:style>
  <w:style w:type="paragraph" w:customStyle="1" w:styleId="0607TB">
    <w:name w:val="06.07 TB"/>
    <w:basedOn w:val="Normal"/>
    <w:rsid w:val="00FE6A8C"/>
    <w:pPr>
      <w:spacing w:before="60" w:after="60" w:line="240" w:lineRule="exact"/>
      <w:ind w:left="144" w:hanging="144"/>
      <w:contextualSpacing/>
      <w:jc w:val="left"/>
    </w:pPr>
    <w:rPr>
      <w:rFonts w:ascii="Cambria Math" w:eastAsia="Times New Roman" w:hAnsi="Cambria Math" w:cs="Times New Roman"/>
      <w:sz w:val="20"/>
      <w:szCs w:val="20"/>
    </w:rPr>
  </w:style>
  <w:style w:type="paragraph" w:customStyle="1" w:styleId="0604TColHead">
    <w:name w:val="06.04 TColHead"/>
    <w:basedOn w:val="Normal"/>
    <w:rsid w:val="00FE6A8C"/>
    <w:pPr>
      <w:framePr w:hSpace="180" w:vSpace="180" w:wrap="around" w:vAnchor="text" w:hAnchor="text" w:y="1"/>
      <w:spacing w:before="40" w:after="40" w:line="240" w:lineRule="exact"/>
      <w:jc w:val="center"/>
    </w:pPr>
    <w:rPr>
      <w:rFonts w:ascii="Myriad Pro" w:eastAsia="MS Mincho" w:hAnsi="Myriad Pro" w:cs="Times New Roman"/>
      <w:b/>
      <w:color w:val="000000"/>
      <w:sz w:val="20"/>
    </w:rPr>
  </w:style>
  <w:style w:type="paragraph" w:customStyle="1" w:styleId="0602TT">
    <w:name w:val="06.02 TT"/>
    <w:basedOn w:val="Normal"/>
    <w:rsid w:val="00FE6A8C"/>
    <w:pPr>
      <w:keepNext/>
      <w:spacing w:after="0" w:line="360" w:lineRule="exact"/>
      <w:jc w:val="center"/>
    </w:pPr>
    <w:rPr>
      <w:rFonts w:ascii="Arial Unicode MS" w:eastAsia="MS Mincho" w:hAnsi="Arial Unicode MS" w:cs="Times New Roman"/>
      <w:b/>
      <w:iCs/>
      <w:color w:val="000000"/>
    </w:rPr>
  </w:style>
  <w:style w:type="character" w:customStyle="1" w:styleId="0905XRefLink">
    <w:name w:val="09.05 XRefLink"/>
    <w:qFormat/>
    <w:rsid w:val="00FE6A8C"/>
    <w:rPr>
      <w:color w:val="0070C0"/>
      <w:u w:val="single" w:color="4BACC6"/>
    </w:rPr>
  </w:style>
  <w:style w:type="paragraph" w:customStyle="1" w:styleId="0608TFN">
    <w:name w:val="06.08 TFN"/>
    <w:basedOn w:val="Normal"/>
    <w:qFormat/>
    <w:rsid w:val="00FE6A8C"/>
    <w:pPr>
      <w:spacing w:before="120" w:after="240" w:line="240" w:lineRule="exact"/>
      <w:jc w:val="left"/>
    </w:pPr>
    <w:rPr>
      <w:rFonts w:ascii="Cambria Math" w:eastAsia="Times New Roman" w:hAnsi="Cambria Math" w:cs="Times New Roman"/>
      <w:color w:val="000000"/>
      <w:sz w:val="20"/>
      <w:szCs w:val="20"/>
      <w:lang w:val="en-GB"/>
    </w:rPr>
  </w:style>
  <w:style w:type="character" w:customStyle="1" w:styleId="0907RefLink">
    <w:name w:val="09.07 RefLink"/>
    <w:qFormat/>
    <w:rsid w:val="00FE6A8C"/>
    <w:rPr>
      <w:color w:val="000000"/>
      <w:u w:val="single" w:color="4BACC6"/>
      <w:bdr w:val="none" w:sz="0" w:space="0" w:color="auto"/>
      <w:shd w:val="clear" w:color="auto" w:fill="93B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1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3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2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DF3B-24D6-4D6D-BC70-AB7915B9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1837</Words>
  <Characters>10474</Characters>
  <Application>Microsoft Office Word</Application>
  <DocSecurity>0</DocSecurity>
  <Lines>87</Lines>
  <Paragraphs>24</Paragraphs>
  <ScaleCrop>false</ScaleCrop>
  <Company>Faculty of Science, University of Copenhagen</Company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Lykkehøj Martinussen</dc:creator>
  <cp:keywords/>
  <cp:lastModifiedBy>Reidsma, Pytrik</cp:lastModifiedBy>
  <cp:revision>2</cp:revision>
  <dcterms:created xsi:type="dcterms:W3CDTF">2023-06-27T14:01:00Z</dcterms:created>
  <dcterms:modified xsi:type="dcterms:W3CDTF">2023-06-27T14:01:00Z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http://www.zotero.org/styles/ecology-and-society</vt:lpwstr>
  </property>
  <property fmtid="{D5CDD505-2E9C-101B-9397-08002B2CF9AE}" pid="11" name="Mendeley Recent Style Name 4_1">
    <vt:lpwstr>Ecology and Society</vt:lpwstr>
  </property>
  <property fmtid="{D5CDD505-2E9C-101B-9397-08002B2CF9AE}" pid="12" name="Mendeley Recent Style Id 5_1">
    <vt:lpwstr>http://www.zotero.org/styles/elsevier-harvard2</vt:lpwstr>
  </property>
  <property fmtid="{D5CDD505-2E9C-101B-9397-08002B2CF9AE}" pid="13" name="Mendeley Recent Style Name 5_1">
    <vt:lpwstr>Elsevier - Harvard 2</vt:lpwstr>
  </property>
  <property fmtid="{D5CDD505-2E9C-101B-9397-08002B2CF9AE}" pid="14" name="Mendeley Recent Style Id 6_1">
    <vt:lpwstr>http://www.zotero.org/styles/global-food-security</vt:lpwstr>
  </property>
  <property fmtid="{D5CDD505-2E9C-101B-9397-08002B2CF9AE}" pid="15" name="Mendeley Recent Style Name 6_1">
    <vt:lpwstr>Global Food Security</vt:lpwstr>
  </property>
  <property fmtid="{D5CDD505-2E9C-101B-9397-08002B2CF9AE}" pid="16" name="Mendeley Recent Style Id 7_1">
    <vt:lpwstr>http://www.zotero.org/styles/harvard1</vt:lpwstr>
  </property>
  <property fmtid="{D5CDD505-2E9C-101B-9397-08002B2CF9AE}" pid="17" name="Mendeley Recent Style Name 7_1">
    <vt:lpwstr>Harvard reference format 1 (deprecated)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http://www.zotero.org/styles/modern-humanities-research-association</vt:lpwstr>
  </property>
  <property fmtid="{D5CDD505-2E9C-101B-9397-08002B2CF9AE}" pid="21" name="Mendeley Recent Style Name 9_1">
    <vt:lpwstr>Modern Humanities Research Association 3rd edition (note with bibliography)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4a503ae6-8f83-3d29-90a4-0ca917b8421e</vt:lpwstr>
  </property>
  <property fmtid="{D5CDD505-2E9C-101B-9397-08002B2CF9AE}" pid="24" name="Mendeley Citation Style_1">
    <vt:lpwstr>http://www.zotero.org/styles/ecology-and-society</vt:lpwstr>
  </property>
</Properties>
</file>