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AB6" w:rsidRPr="00FD74E9" w:rsidRDefault="00D61AB6" w:rsidP="00D61AB6">
      <w:pPr>
        <w:pStyle w:val="Heading1"/>
        <w:rPr>
          <w:lang w:val="en-US"/>
        </w:rPr>
      </w:pPr>
      <w:r w:rsidRPr="00785C0C">
        <w:rPr>
          <w:lang w:val="en-US"/>
        </w:rPr>
        <w:t>Appendix</w:t>
      </w:r>
    </w:p>
    <w:p w:rsidR="00D61AB6" w:rsidRPr="00416F1D" w:rsidRDefault="00D61AB6" w:rsidP="00D61AB6">
      <w:pPr>
        <w:pStyle w:val="Caption"/>
        <w:keepNext/>
        <w:rPr>
          <w:rFonts w:ascii="Times New Roman" w:hAnsi="Times New Roman" w:cs="Times New Roman"/>
        </w:rPr>
      </w:pPr>
      <w:r w:rsidRPr="00FD74E9">
        <w:rPr>
          <w:rFonts w:ascii="Times New Roman" w:hAnsi="Times New Roman" w:cs="Times New Roman"/>
        </w:rPr>
        <w:t>Table A1</w:t>
      </w:r>
      <w:r w:rsidRPr="00416F1D">
        <w:rPr>
          <w:rFonts w:ascii="Times New Roman" w:hAnsi="Times New Roman" w:cs="Times New Roman"/>
        </w:rPr>
        <w:t>. Used concepts and their explanations and main references. Adapted from Paas et al. (In Review)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5534"/>
        <w:gridCol w:w="1466"/>
      </w:tblGrid>
      <w:tr w:rsidR="00D61AB6" w:rsidRPr="00CF0D36" w:rsidTr="00D12398">
        <w:trPr>
          <w:trHeight w:val="300"/>
        </w:trPr>
        <w:tc>
          <w:tcPr>
            <w:tcW w:w="114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:rsidR="00D61AB6" w:rsidRPr="008C2809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8C280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Concept</w:t>
            </w:r>
          </w:p>
        </w:tc>
        <w:tc>
          <w:tcPr>
            <w:tcW w:w="305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hideMark/>
          </w:tcPr>
          <w:p w:rsidR="00D61AB6" w:rsidRPr="00D22A71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Explanation</w:t>
            </w:r>
          </w:p>
        </w:tc>
        <w:tc>
          <w:tcPr>
            <w:tcW w:w="8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8C3723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References</w:t>
            </w:r>
          </w:p>
        </w:tc>
      </w:tr>
      <w:tr w:rsidR="00D61AB6" w:rsidRPr="00CF0D36" w:rsidTr="00D12398">
        <w:trPr>
          <w:trHeight w:val="300"/>
        </w:trPr>
        <w:tc>
          <w:tcPr>
            <w:tcW w:w="1142" w:type="pct"/>
            <w:tcBorders>
              <w:top w:val="double" w:sz="4" w:space="0" w:color="auto"/>
            </w:tcBorders>
            <w:shd w:val="clear" w:color="auto" w:fill="auto"/>
            <w:noWrap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Sustainability</w:t>
            </w:r>
          </w:p>
        </w:tc>
        <w:tc>
          <w:tcPr>
            <w:tcW w:w="3050" w:type="pct"/>
            <w:tcBorders>
              <w:top w:val="double" w:sz="4" w:space="0" w:color="auto"/>
            </w:tcBorders>
            <w:shd w:val="clear" w:color="auto" w:fill="auto"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sz w:val="14"/>
                <w:szCs w:val="14"/>
                <w:lang w:val="en-US"/>
              </w:rPr>
              <w:t xml:space="preserve">An adequate performance of all system functions across the environmental, economic and social domain. Obviously </w:t>
            </w:r>
            <w:r w:rsidRPr="00FD74E9">
              <w:rPr>
                <w:rFonts w:eastAsia="Times New Roman" w:cs="Times New Roman"/>
                <w:sz w:val="14"/>
                <w:szCs w:val="14"/>
                <w:lang w:val="en-US"/>
              </w:rPr>
              <w:t>adequate is normative and depends on environmental thres</w:t>
            </w:r>
            <w:r w:rsidRPr="00416F1D">
              <w:rPr>
                <w:rFonts w:eastAsia="Times New Roman" w:cs="Times New Roman"/>
                <w:sz w:val="14"/>
                <w:szCs w:val="14"/>
                <w:lang w:val="en-US"/>
              </w:rPr>
              <w:t>holds and societal constraints and objectives.</w:t>
            </w:r>
          </w:p>
        </w:tc>
        <w:tc>
          <w:tcPr>
            <w:tcW w:w="808" w:type="pct"/>
            <w:tcBorders>
              <w:top w:val="double" w:sz="4" w:space="0" w:color="auto"/>
            </w:tcBorders>
            <w:shd w:val="clear" w:color="auto" w:fill="auto"/>
          </w:tcPr>
          <w:p w:rsidR="00D61AB6" w:rsidRPr="008C2809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416F1D">
              <w:rPr>
                <w:rFonts w:eastAsia="Times New Roman" w:cs="Times New Roman"/>
                <w:sz w:val="14"/>
                <w:szCs w:val="14"/>
                <w:lang w:val="en-US" w:eastAsia="nl-NL"/>
              </w:rPr>
              <w:t>See e.g. Morris et al. (2011) and  König et al. (2013)</w:t>
            </w:r>
          </w:p>
        </w:tc>
      </w:tr>
      <w:tr w:rsidR="00D61AB6" w:rsidRPr="00CF0D36" w:rsidTr="00D12398">
        <w:trPr>
          <w:trHeight w:val="707"/>
        </w:trPr>
        <w:tc>
          <w:tcPr>
            <w:tcW w:w="1142" w:type="pct"/>
            <w:shd w:val="clear" w:color="auto" w:fill="auto"/>
            <w:noWrap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Resilience capacities</w:t>
            </w:r>
          </w:p>
        </w:tc>
        <w:tc>
          <w:tcPr>
            <w:tcW w:w="3050" w:type="pct"/>
            <w:shd w:val="clear" w:color="auto" w:fill="auto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 xml:space="preserve">Robustness, adaptability and transformability potential of systems in the face 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of shocks and stresses. The explanation of the resilience capacities fol</w:t>
            </w: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lows below and is influenced by the mentioned sources.</w:t>
            </w:r>
          </w:p>
        </w:tc>
        <w:tc>
          <w:tcPr>
            <w:tcW w:w="808" w:type="pct"/>
            <w:shd w:val="clear" w:color="auto" w:fill="auto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 xml:space="preserve">Walker et al. (2004), Folke et al. (2010), </w:t>
            </w:r>
            <w:proofErr w:type="spellStart"/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>Anderies</w:t>
            </w:r>
            <w:proofErr w:type="spellEnd"/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 xml:space="preserve"> et al. (2013), Meuwissen et al. </w:t>
            </w: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(2019)</w:t>
            </w:r>
          </w:p>
        </w:tc>
      </w:tr>
      <w:tr w:rsidR="00D61AB6" w:rsidRPr="00CF0D36" w:rsidTr="00D12398">
        <w:trPr>
          <w:trHeight w:val="510"/>
        </w:trPr>
        <w:tc>
          <w:tcPr>
            <w:tcW w:w="1142" w:type="pct"/>
            <w:shd w:val="clear" w:color="auto" w:fill="auto"/>
            <w:noWrap/>
            <w:hideMark/>
          </w:tcPr>
          <w:p w:rsidR="00D61AB6" w:rsidRPr="00785C0C" w:rsidRDefault="00D61AB6" w:rsidP="00D12398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Robustness</w:t>
            </w:r>
          </w:p>
        </w:tc>
        <w:tc>
          <w:tcPr>
            <w:tcW w:w="3050" w:type="pct"/>
            <w:shd w:val="clear" w:color="auto" w:fill="auto"/>
            <w:hideMark/>
          </w:tcPr>
          <w:p w:rsidR="00D61AB6" w:rsidRPr="00FD74E9" w:rsidRDefault="00D61AB6" w:rsidP="00D1239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Robustness is the capacity</w:t>
            </w:r>
            <w:r w:rsidRPr="00FD74E9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 xml:space="preserve"> to resist to and endure shocks and stresses.</w:t>
            </w:r>
          </w:p>
        </w:tc>
        <w:tc>
          <w:tcPr>
            <w:tcW w:w="808" w:type="pct"/>
            <w:shd w:val="clear" w:color="auto" w:fill="auto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val="en-US" w:eastAsia="nl-NL"/>
              </w:rPr>
            </w:pPr>
          </w:p>
        </w:tc>
      </w:tr>
      <w:tr w:rsidR="00D61AB6" w:rsidRPr="00CF0D36" w:rsidTr="00D12398">
        <w:trPr>
          <w:trHeight w:val="499"/>
        </w:trPr>
        <w:tc>
          <w:tcPr>
            <w:tcW w:w="1142" w:type="pct"/>
            <w:shd w:val="clear" w:color="auto" w:fill="auto"/>
            <w:noWrap/>
            <w:hideMark/>
          </w:tcPr>
          <w:p w:rsidR="00D61AB6" w:rsidRPr="00785C0C" w:rsidRDefault="00D61AB6" w:rsidP="00D12398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Adaptability</w:t>
            </w:r>
          </w:p>
        </w:tc>
        <w:tc>
          <w:tcPr>
            <w:tcW w:w="3050" w:type="pct"/>
            <w:shd w:val="clear" w:color="auto" w:fill="auto"/>
            <w:hideMark/>
          </w:tcPr>
          <w:p w:rsidR="00D61AB6" w:rsidRPr="00FD74E9" w:rsidRDefault="00D61AB6" w:rsidP="00D1239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Adaptability is the capacity t</w:t>
            </w:r>
            <w:r w:rsidRPr="00FD74E9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o actively respond to shock and stresses without changing farming system structures and feedback mechanisms</w:t>
            </w:r>
          </w:p>
        </w:tc>
        <w:tc>
          <w:tcPr>
            <w:tcW w:w="808" w:type="pct"/>
            <w:shd w:val="clear" w:color="auto" w:fill="auto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val="en-US" w:eastAsia="nl-NL"/>
              </w:rPr>
            </w:pPr>
          </w:p>
        </w:tc>
      </w:tr>
      <w:tr w:rsidR="00D61AB6" w:rsidRPr="00CF0D36" w:rsidTr="00D12398">
        <w:trPr>
          <w:trHeight w:val="564"/>
        </w:trPr>
        <w:tc>
          <w:tcPr>
            <w:tcW w:w="1142" w:type="pct"/>
            <w:shd w:val="clear" w:color="auto" w:fill="auto"/>
            <w:noWrap/>
            <w:hideMark/>
          </w:tcPr>
          <w:p w:rsidR="00D61AB6" w:rsidRPr="00785C0C" w:rsidRDefault="00D61AB6" w:rsidP="00D12398">
            <w:pPr>
              <w:spacing w:after="0" w:line="240" w:lineRule="auto"/>
              <w:jc w:val="right"/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Transformability</w:t>
            </w:r>
          </w:p>
        </w:tc>
        <w:tc>
          <w:tcPr>
            <w:tcW w:w="3050" w:type="pct"/>
            <w:shd w:val="clear" w:color="auto" w:fill="auto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Transformability is the capacity of a system to reorganize its structure and feedback mech</w:t>
            </w:r>
            <w:r w:rsidRPr="00FD74E9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anisms in response to shocks and stress</w:t>
            </w:r>
            <w:r w:rsidRPr="00416F1D"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  <w:t>es.</w:t>
            </w:r>
          </w:p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14"/>
                <w:szCs w:val="14"/>
                <w:lang w:val="en-US" w:eastAsia="nl-NL"/>
              </w:rPr>
            </w:pPr>
          </w:p>
        </w:tc>
        <w:tc>
          <w:tcPr>
            <w:tcW w:w="808" w:type="pct"/>
            <w:shd w:val="clear" w:color="auto" w:fill="auto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val="en-US" w:eastAsia="nl-NL"/>
              </w:rPr>
            </w:pPr>
          </w:p>
        </w:tc>
      </w:tr>
      <w:tr w:rsidR="00D61AB6" w:rsidRPr="00CF0D36" w:rsidTr="00D12398">
        <w:trPr>
          <w:trHeight w:val="564"/>
        </w:trPr>
        <w:tc>
          <w:tcPr>
            <w:tcW w:w="1142" w:type="pct"/>
            <w:shd w:val="clear" w:color="auto" w:fill="auto"/>
            <w:noWrap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Specific resilience</w:t>
            </w:r>
          </w:p>
        </w:tc>
        <w:tc>
          <w:tcPr>
            <w:tcW w:w="3050" w:type="pct"/>
            <w:shd w:val="clear" w:color="auto" w:fill="auto"/>
          </w:tcPr>
          <w:p w:rsidR="00D61AB6" w:rsidRPr="00FD74E9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 xml:space="preserve">Resilience specified with regard to answering the questions "resilience of what, to what and for 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what purpose?"</w:t>
            </w:r>
          </w:p>
        </w:tc>
        <w:tc>
          <w:tcPr>
            <w:tcW w:w="808" w:type="pct"/>
            <w:shd w:val="clear" w:color="auto" w:fill="auto"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>Carpenter et al. (2001), Q</w:t>
            </w:r>
            <w:r w:rsidRPr="008C3723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 xml:space="preserve">uinlan et al. </w:t>
            </w: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(2016)</w:t>
            </w:r>
          </w:p>
        </w:tc>
      </w:tr>
      <w:tr w:rsidR="00D61AB6" w:rsidRPr="00CF0D36" w:rsidTr="00D12398">
        <w:trPr>
          <w:trHeight w:val="564"/>
        </w:trPr>
        <w:tc>
          <w:tcPr>
            <w:tcW w:w="1142" w:type="pct"/>
            <w:shd w:val="clear" w:color="auto" w:fill="auto"/>
            <w:noWrap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General resilience</w:t>
            </w:r>
          </w:p>
        </w:tc>
        <w:tc>
          <w:tcPr>
            <w:tcW w:w="3050" w:type="pct"/>
            <w:shd w:val="clear" w:color="auto" w:fill="auto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General resilience is related t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o a system's robustness, adaptability and transformability, regardless the type of challenge or shock.</w:t>
            </w:r>
          </w:p>
        </w:tc>
        <w:tc>
          <w:tcPr>
            <w:tcW w:w="808" w:type="pct"/>
            <w:shd w:val="clear" w:color="auto" w:fill="auto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Resilience Alliance (2010), Walker and Salt (2012), Meuwissen et al. (2019)</w:t>
            </w:r>
          </w:p>
        </w:tc>
      </w:tr>
      <w:tr w:rsidR="00D61AB6" w:rsidRPr="00CF0D36" w:rsidTr="00D12398">
        <w:trPr>
          <w:trHeight w:val="904"/>
        </w:trPr>
        <w:tc>
          <w:tcPr>
            <w:tcW w:w="1142" w:type="pct"/>
            <w:shd w:val="clear" w:color="auto" w:fill="auto"/>
            <w:noWrap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Farming system</w:t>
            </w:r>
          </w:p>
        </w:tc>
        <w:tc>
          <w:tcPr>
            <w:tcW w:w="3050" w:type="pct"/>
            <w:shd w:val="clear" w:color="auto" w:fill="auto"/>
            <w:hideMark/>
          </w:tcPr>
          <w:p w:rsidR="00D61AB6" w:rsidRPr="008C2809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The basis of a farming systems consists of farms producing th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 xml:space="preserve">e main products of interest in a regional context. Social actors included in the farming systems are the producers of main products and </w:t>
            </w: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other actors that mutually influence one another. In the context of resilience, the farming system relates to the questi</w:t>
            </w:r>
            <w:r w:rsidRPr="008C280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on “Resilience of what?”</w:t>
            </w:r>
          </w:p>
        </w:tc>
        <w:tc>
          <w:tcPr>
            <w:tcW w:w="808" w:type="pct"/>
            <w:shd w:val="clear" w:color="auto" w:fill="auto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Meuwissen et al. (2019)</w:t>
            </w:r>
          </w:p>
        </w:tc>
      </w:tr>
      <w:tr w:rsidR="00D61AB6" w:rsidRPr="00CF0D36" w:rsidTr="00D12398">
        <w:trPr>
          <w:trHeight w:val="855"/>
        </w:trPr>
        <w:tc>
          <w:tcPr>
            <w:tcW w:w="1142" w:type="pct"/>
            <w:shd w:val="clear" w:color="auto" w:fill="auto"/>
            <w:noWrap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Challenges</w:t>
            </w:r>
          </w:p>
        </w:tc>
        <w:tc>
          <w:tcPr>
            <w:tcW w:w="3050" w:type="pct"/>
            <w:shd w:val="clear" w:color="auto" w:fill="auto"/>
          </w:tcPr>
          <w:p w:rsidR="00D61AB6" w:rsidRPr="00FD74E9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Shocks or stresses that constrain farming system functioning. In the context of resilience, challenges relate to the questi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on “Resilience to what?”.</w:t>
            </w:r>
          </w:p>
        </w:tc>
        <w:tc>
          <w:tcPr>
            <w:tcW w:w="808" w:type="pct"/>
            <w:shd w:val="clear" w:color="auto" w:fill="auto"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Meuwissen et al. (2019)</w:t>
            </w:r>
          </w:p>
        </w:tc>
      </w:tr>
      <w:tr w:rsidR="00D61AB6" w:rsidRPr="00CF0D36" w:rsidTr="00D12398">
        <w:trPr>
          <w:trHeight w:val="855"/>
        </w:trPr>
        <w:tc>
          <w:tcPr>
            <w:tcW w:w="1142" w:type="pct"/>
            <w:shd w:val="clear" w:color="auto" w:fill="auto"/>
            <w:noWrap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Functions</w:t>
            </w:r>
          </w:p>
        </w:tc>
        <w:tc>
          <w:tcPr>
            <w:tcW w:w="3050" w:type="pct"/>
            <w:shd w:val="clear" w:color="auto" w:fill="auto"/>
            <w:hideMark/>
          </w:tcPr>
          <w:p w:rsidR="00D61AB6" w:rsidRPr="00D22A71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Delivery of public and private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 xml:space="preserve"> goods from the farming system to society (categorized according to domain they belong to): production of food (economic), bio-based resources (economic), economic v</w:t>
            </w: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iability (economic), quality of life (social), maintenance of natural resources (environmental), bio-diversity &amp; habitat (environmental), attractiveness of the area (social), and anim</w:t>
            </w:r>
            <w:r w:rsidRPr="008C280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al health &amp; welfare (environmental). In the context of resilience, functi</w:t>
            </w:r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ons relate to the question “Resilience for what purpose?”</w:t>
            </w:r>
          </w:p>
        </w:tc>
        <w:tc>
          <w:tcPr>
            <w:tcW w:w="808" w:type="pct"/>
            <w:shd w:val="clear" w:color="auto" w:fill="auto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8C3723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Meuwissen et al. (2019)</w:t>
            </w:r>
          </w:p>
        </w:tc>
      </w:tr>
      <w:tr w:rsidR="00D61AB6" w:rsidRPr="00CF0D36" w:rsidTr="00D12398">
        <w:trPr>
          <w:trHeight w:val="711"/>
        </w:trPr>
        <w:tc>
          <w:tcPr>
            <w:tcW w:w="1142" w:type="pct"/>
            <w:shd w:val="clear" w:color="auto" w:fill="auto"/>
            <w:noWrap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Indicators</w:t>
            </w:r>
          </w:p>
        </w:tc>
        <w:tc>
          <w:tcPr>
            <w:tcW w:w="3050" w:type="pct"/>
            <w:shd w:val="clear" w:color="auto" w:fill="auto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 xml:space="preserve">Indicators that represent farming system functions in the absence of a unique metric for 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these functions. Indicators with high allocated importance are assumed to</w:t>
            </w: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 xml:space="preserve"> represent the identity of the farming system.</w:t>
            </w:r>
          </w:p>
        </w:tc>
        <w:tc>
          <w:tcPr>
            <w:tcW w:w="808" w:type="pct"/>
            <w:shd w:val="clear" w:color="auto" w:fill="auto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>Reidsma et al. (2019), Me</w:t>
            </w:r>
            <w:r w:rsidRPr="008C3723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 xml:space="preserve">uwissen et al. </w:t>
            </w: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(2019)</w:t>
            </w:r>
          </w:p>
        </w:tc>
      </w:tr>
      <w:tr w:rsidR="00D61AB6" w:rsidRPr="00CF0D36" w:rsidTr="00D12398">
        <w:trPr>
          <w:trHeight w:val="711"/>
        </w:trPr>
        <w:tc>
          <w:tcPr>
            <w:tcW w:w="1142" w:type="pct"/>
            <w:shd w:val="clear" w:color="auto" w:fill="auto"/>
            <w:noWrap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Resilience attributes</w:t>
            </w:r>
          </w:p>
        </w:tc>
        <w:tc>
          <w:tcPr>
            <w:tcW w:w="3050" w:type="pct"/>
            <w:shd w:val="clear" w:color="auto" w:fill="auto"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val="en-US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Specific system characteristics that are supposedly contributing to general resilience of farming systems. For the resilience attributes th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at are treated in this study, see also Table A1.2.</w:t>
            </w:r>
          </w:p>
        </w:tc>
        <w:tc>
          <w:tcPr>
            <w:tcW w:w="808" w:type="pct"/>
            <w:shd w:val="clear" w:color="auto" w:fill="auto"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val="en-US" w:eastAsia="nl-NL"/>
              </w:rPr>
            </w:pPr>
            <w:proofErr w:type="spellStart"/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>Cabell</w:t>
            </w:r>
            <w:proofErr w:type="spellEnd"/>
            <w:r w:rsidRPr="00D22A71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 xml:space="preserve"> &amp; Oelofse (201</w:t>
            </w:r>
            <w:r w:rsidRPr="008C3723">
              <w:rPr>
                <w:rFonts w:eastAsia="Times New Roman" w:cs="Times New Roman"/>
                <w:color w:val="000000"/>
                <w:sz w:val="14"/>
                <w:szCs w:val="14"/>
                <w:lang w:eastAsia="nl-NL"/>
              </w:rPr>
              <w:t xml:space="preserve">2), Meuwissen et al. </w:t>
            </w: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(2019)</w:t>
            </w:r>
          </w:p>
        </w:tc>
      </w:tr>
      <w:tr w:rsidR="00D61AB6" w:rsidRPr="00CF0D36" w:rsidTr="00D12398">
        <w:trPr>
          <w:trHeight w:val="711"/>
        </w:trPr>
        <w:tc>
          <w:tcPr>
            <w:tcW w:w="1142" w:type="pct"/>
            <w:shd w:val="clear" w:color="auto" w:fill="auto"/>
            <w:noWrap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Critical thresholds</w:t>
            </w:r>
          </w:p>
        </w:tc>
        <w:tc>
          <w:tcPr>
            <w:tcW w:w="3050" w:type="pct"/>
            <w:shd w:val="clear" w:color="auto" w:fill="auto"/>
          </w:tcPr>
          <w:p w:rsidR="00D61AB6" w:rsidRPr="00FD74E9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Levels at which system challenges, indicators or resilience attributes are expected to cause large and permanent system change.</w:t>
            </w:r>
          </w:p>
        </w:tc>
        <w:tc>
          <w:tcPr>
            <w:tcW w:w="808" w:type="pct"/>
            <w:shd w:val="clear" w:color="auto" w:fill="auto"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Adapted from Kinzig et al. (2006) and Biggs et al. (2018).</w:t>
            </w:r>
          </w:p>
        </w:tc>
      </w:tr>
      <w:tr w:rsidR="00D61AB6" w:rsidRPr="00CF0D36" w:rsidTr="00D12398">
        <w:trPr>
          <w:trHeight w:val="711"/>
        </w:trPr>
        <w:tc>
          <w:tcPr>
            <w:tcW w:w="1142" w:type="pct"/>
            <w:shd w:val="clear" w:color="auto" w:fill="auto"/>
            <w:noWrap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Enabling conditions</w:t>
            </w:r>
          </w:p>
        </w:tc>
        <w:tc>
          <w:tcPr>
            <w:tcW w:w="3050" w:type="pct"/>
            <w:shd w:val="clear" w:color="auto" w:fill="auto"/>
          </w:tcPr>
          <w:p w:rsidR="00D61AB6" w:rsidRPr="00FD74E9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Conditions around the farming system that enable the maintenance of the current system or realiza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tion of alternative systems in the future.</w:t>
            </w:r>
          </w:p>
        </w:tc>
        <w:tc>
          <w:tcPr>
            <w:tcW w:w="808" w:type="pct"/>
            <w:shd w:val="clear" w:color="auto" w:fill="auto"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This study</w:t>
            </w:r>
          </w:p>
        </w:tc>
      </w:tr>
      <w:tr w:rsidR="00D61AB6" w:rsidRPr="00CF0D36" w:rsidTr="00D12398">
        <w:trPr>
          <w:trHeight w:val="711"/>
        </w:trPr>
        <w:tc>
          <w:tcPr>
            <w:tcW w:w="1142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D61AB6" w:rsidRPr="00785C0C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Interacting thresholds</w:t>
            </w:r>
          </w:p>
        </w:tc>
        <w:tc>
          <w:tcPr>
            <w:tcW w:w="3050" w:type="pct"/>
            <w:tcBorders>
              <w:bottom w:val="single" w:sz="4" w:space="0" w:color="auto"/>
            </w:tcBorders>
            <w:shd w:val="clear" w:color="auto" w:fill="auto"/>
          </w:tcPr>
          <w:p w:rsidR="00D61AB6" w:rsidRPr="00FD74E9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785C0C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Critical thresholds, when exceeded, leading to the exceedanc</w:t>
            </w:r>
            <w:r w:rsidRPr="00FD74E9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e of another critical threshold.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</w:tcPr>
          <w:p w:rsidR="00D61AB6" w:rsidRPr="00416F1D" w:rsidRDefault="00D61AB6" w:rsidP="00D12398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</w:pPr>
            <w:r w:rsidRPr="00416F1D">
              <w:rPr>
                <w:rFonts w:eastAsia="Times New Roman" w:cs="Times New Roman"/>
                <w:color w:val="000000"/>
                <w:sz w:val="14"/>
                <w:szCs w:val="14"/>
                <w:lang w:val="en-US" w:eastAsia="nl-NL"/>
              </w:rPr>
              <w:t>Kinzig et al. (2006)</w:t>
            </w:r>
          </w:p>
        </w:tc>
      </w:tr>
    </w:tbl>
    <w:p w:rsidR="00D61AB6" w:rsidRPr="00785C0C" w:rsidRDefault="00D61AB6" w:rsidP="00D61AB6">
      <w:pPr>
        <w:pStyle w:val="Caption"/>
        <w:keepNext/>
      </w:pPr>
      <w:r w:rsidRPr="00785C0C">
        <w:lastRenderedPageBreak/>
        <w:t>Table A2. Resilience attribute definitions and implications</w:t>
      </w:r>
      <w:r>
        <w:t>.</w:t>
      </w:r>
      <w:r w:rsidRPr="00785C0C">
        <w:t xml:space="preserve"> Source: Paas et al. (In Press) adapted from Cabell &amp; Oelofse et al. (2012).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715"/>
        <w:gridCol w:w="2173"/>
        <w:gridCol w:w="2273"/>
        <w:gridCol w:w="1116"/>
      </w:tblGrid>
      <w:tr w:rsidR="00D61AB6" w:rsidRPr="00CF0D36" w:rsidTr="00D12398">
        <w:trPr>
          <w:trHeight w:val="375"/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bCs/>
                <w:color w:val="000000"/>
                <w:sz w:val="12"/>
                <w:szCs w:val="12"/>
                <w:lang w:val="en-US" w:eastAsia="nl-NL"/>
              </w:rPr>
            </w:pPr>
            <w:r w:rsidRPr="00FD74E9">
              <w:rPr>
                <w:bCs/>
                <w:color w:val="000000"/>
                <w:sz w:val="12"/>
                <w:szCs w:val="12"/>
                <w:lang w:val="en-US" w:eastAsia="nl-NL"/>
              </w:rPr>
              <w:t>Resilience at</w:t>
            </w:r>
            <w:r w:rsidRPr="00416F1D">
              <w:rPr>
                <w:bCs/>
                <w:color w:val="000000"/>
                <w:sz w:val="12"/>
                <w:szCs w:val="12"/>
                <w:lang w:val="en-US" w:eastAsia="nl-NL"/>
              </w:rPr>
              <w:t>tribute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bCs/>
                <w:color w:val="000000"/>
                <w:sz w:val="12"/>
                <w:szCs w:val="12"/>
                <w:lang w:val="en-US" w:eastAsia="nl-NL"/>
              </w:rPr>
            </w:pPr>
            <w:r w:rsidRPr="00416F1D">
              <w:rPr>
                <w:bCs/>
                <w:color w:val="000000"/>
                <w:sz w:val="12"/>
                <w:szCs w:val="12"/>
                <w:lang w:val="en-US" w:eastAsia="nl-NL"/>
              </w:rPr>
              <w:t>Definition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AB6" w:rsidRPr="008C2809" w:rsidRDefault="00D61AB6" w:rsidP="00D12398">
            <w:pPr>
              <w:spacing w:after="0" w:line="240" w:lineRule="auto"/>
              <w:rPr>
                <w:bCs/>
                <w:color w:val="000000"/>
                <w:sz w:val="12"/>
                <w:szCs w:val="12"/>
                <w:lang w:val="en-US" w:eastAsia="nl-NL"/>
              </w:rPr>
            </w:pPr>
            <w:r w:rsidRPr="008C2809">
              <w:rPr>
                <w:bCs/>
                <w:color w:val="000000"/>
                <w:sz w:val="12"/>
                <w:szCs w:val="12"/>
                <w:lang w:val="en-US" w:eastAsia="nl-NL"/>
              </w:rPr>
              <w:t>Implications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AB6" w:rsidRPr="00D22A71" w:rsidRDefault="00D61AB6" w:rsidP="00D12398">
            <w:pPr>
              <w:spacing w:after="0" w:line="240" w:lineRule="auto"/>
              <w:rPr>
                <w:bCs/>
                <w:color w:val="000000"/>
                <w:sz w:val="12"/>
                <w:szCs w:val="12"/>
                <w:lang w:val="en-US" w:eastAsia="nl-NL"/>
              </w:rPr>
            </w:pPr>
            <w:r w:rsidRPr="00D22A71">
              <w:rPr>
                <w:bCs/>
                <w:color w:val="000000"/>
                <w:sz w:val="12"/>
                <w:szCs w:val="12"/>
                <w:lang w:val="en-US" w:eastAsia="nl-NL"/>
              </w:rPr>
              <w:t>Explanation statement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1AB6" w:rsidRPr="008F586A" w:rsidRDefault="00D61AB6" w:rsidP="00D12398">
            <w:pPr>
              <w:spacing w:after="0" w:line="240" w:lineRule="auto"/>
              <w:rPr>
                <w:bCs/>
                <w:color w:val="000000"/>
                <w:sz w:val="12"/>
                <w:szCs w:val="12"/>
                <w:lang w:val="en-US" w:eastAsia="nl-NL"/>
              </w:rPr>
            </w:pPr>
            <w:r w:rsidRPr="008C3723">
              <w:rPr>
                <w:bCs/>
                <w:color w:val="000000"/>
                <w:sz w:val="12"/>
                <w:szCs w:val="12"/>
                <w:lang w:val="en-US" w:eastAsia="nl-NL"/>
              </w:rPr>
              <w:t>Link with resilience principle</w:t>
            </w:r>
            <w:r w:rsidRPr="00FB39A3">
              <w:rPr>
                <w:bCs/>
                <w:color w:val="000000"/>
                <w:sz w:val="12"/>
                <w:szCs w:val="12"/>
                <w:lang w:val="en-US" w:eastAsia="nl-NL"/>
              </w:rPr>
              <w:t xml:space="preserve"> </w:t>
            </w:r>
          </w:p>
        </w:tc>
      </w:tr>
      <w:tr w:rsidR="00D61AB6" w:rsidRPr="00CF0D36" w:rsidTr="00D12398">
        <w:trPr>
          <w:trHeight w:val="824"/>
          <w:tblHeader/>
        </w:trPr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>Reasonably profitable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hideMark/>
          </w:tcPr>
          <w:p w:rsidR="00D61AB6" w:rsidRPr="00FD74E9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>Persons and organizations in the farming system are able to make a livelihood and save money without relying on subsidies or secondary employment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416F1D">
              <w:rPr>
                <w:sz w:val="12"/>
                <w:szCs w:val="12"/>
                <w:lang w:val="en-US" w:eastAsia="nl-NL"/>
              </w:rPr>
              <w:t xml:space="preserve">Being reasonably profitable allows participants in the system to invest </w:t>
            </w:r>
            <w:r w:rsidRPr="008C2809">
              <w:rPr>
                <w:sz w:val="12"/>
                <w:szCs w:val="12"/>
                <w:lang w:val="en-US" w:eastAsia="nl-NL"/>
              </w:rPr>
              <w:t>in the future; this adds bu</w:t>
            </w:r>
            <w:r w:rsidRPr="00D22A71">
              <w:rPr>
                <w:sz w:val="12"/>
                <w:szCs w:val="12"/>
                <w:lang w:val="en-US" w:eastAsia="nl-NL"/>
              </w:rPr>
              <w:t>ffering capacity, flexibility, and builds wealth that can be tapped into following release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hideMark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8C3723">
              <w:rPr>
                <w:sz w:val="12"/>
                <w:szCs w:val="12"/>
                <w:lang w:val="en-US" w:eastAsia="nl-NL"/>
              </w:rPr>
              <w:t>Farmers and farm workers earn a livable wage while not depending he</w:t>
            </w:r>
            <w:r w:rsidRPr="00FB39A3">
              <w:rPr>
                <w:sz w:val="12"/>
                <w:szCs w:val="12"/>
                <w:lang w:val="en-US" w:eastAsia="nl-NL"/>
              </w:rPr>
              <w:t>a</w:t>
            </w:r>
            <w:r w:rsidRPr="008F586A">
              <w:rPr>
                <w:sz w:val="12"/>
                <w:szCs w:val="12"/>
                <w:lang w:val="en-US" w:eastAsia="nl-NL"/>
              </w:rPr>
              <w:t>vily on subsid</w:t>
            </w:r>
            <w:r w:rsidRPr="00CF0D36">
              <w:rPr>
                <w:sz w:val="12"/>
                <w:szCs w:val="12"/>
                <w:lang w:val="en-US" w:eastAsia="nl-NL"/>
              </w:rPr>
              <w:t>ies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CF0D36">
              <w:rPr>
                <w:sz w:val="12"/>
                <w:szCs w:val="12"/>
                <w:lang w:val="en-US" w:eastAsia="nl-NL"/>
              </w:rPr>
              <w:t>Systems reserves (economic capital)</w:t>
            </w:r>
          </w:p>
        </w:tc>
      </w:tr>
      <w:tr w:rsidR="00D61AB6" w:rsidRPr="00CF0D36" w:rsidTr="00D12398">
        <w:trPr>
          <w:trHeight w:val="639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 xml:space="preserve">Production coupled with local and natural capital 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FD74E9">
              <w:rPr>
                <w:sz w:val="12"/>
                <w:szCs w:val="12"/>
                <w:lang w:val="en-US" w:eastAsia="nl-NL"/>
              </w:rPr>
              <w:t>The system functions as much as possible within the means of the bio-regionally available natural resource base and ecosystem services</w:t>
            </w:r>
          </w:p>
        </w:tc>
        <w:tc>
          <w:tcPr>
            <w:tcW w:w="2240" w:type="dxa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416F1D">
              <w:rPr>
                <w:sz w:val="12"/>
                <w:szCs w:val="12"/>
                <w:lang w:val="en-US" w:eastAsia="nl-NL"/>
              </w:rPr>
              <w:t>Responsible use of local resources encourages a system to live wit</w:t>
            </w:r>
            <w:r w:rsidRPr="008C2809">
              <w:rPr>
                <w:sz w:val="12"/>
                <w:szCs w:val="12"/>
                <w:lang w:val="en-US" w:eastAsia="nl-NL"/>
              </w:rPr>
              <w:t>hin its means;</w:t>
            </w:r>
            <w:r w:rsidRPr="00D22A71">
              <w:rPr>
                <w:sz w:val="12"/>
                <w:szCs w:val="12"/>
                <w:lang w:val="en-US" w:eastAsia="nl-NL"/>
              </w:rPr>
              <w:t xml:space="preserve"> this creates an agroec</w:t>
            </w:r>
            <w:r w:rsidRPr="008C3723">
              <w:rPr>
                <w:sz w:val="12"/>
                <w:szCs w:val="12"/>
                <w:lang w:val="en-US" w:eastAsia="nl-NL"/>
              </w:rPr>
              <w:t>osystem that recycles waste, relies on healthy soil, and conserves water</w:t>
            </w:r>
          </w:p>
        </w:tc>
        <w:tc>
          <w:tcPr>
            <w:tcW w:w="2343" w:type="dxa"/>
            <w:hideMark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FB39A3">
              <w:rPr>
                <w:sz w:val="12"/>
                <w:szCs w:val="12"/>
                <w:lang w:val="en-US" w:eastAsia="nl-NL"/>
              </w:rPr>
              <w:t>Soil fertility, water resources and existing nature are maintained well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CF0D36">
              <w:rPr>
                <w:sz w:val="12"/>
                <w:szCs w:val="12"/>
                <w:lang w:val="en-US" w:eastAsia="nl-NL"/>
              </w:rPr>
              <w:t>Systems reserves (natural capital), tightness of feedbacks</w:t>
            </w:r>
          </w:p>
        </w:tc>
      </w:tr>
      <w:tr w:rsidR="00D61AB6" w:rsidRPr="00CF0D36" w:rsidTr="00D12398">
        <w:trPr>
          <w:trHeight w:val="465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iCs/>
                <w:sz w:val="12"/>
                <w:szCs w:val="12"/>
                <w:vertAlign w:val="superscript"/>
                <w:lang w:val="en-US" w:eastAsia="nl-NL"/>
              </w:rPr>
            </w:pPr>
            <w:r w:rsidRPr="00785C0C">
              <w:rPr>
                <w:iCs/>
                <w:sz w:val="12"/>
                <w:szCs w:val="12"/>
                <w:lang w:val="en-US" w:eastAsia="nl-NL"/>
              </w:rPr>
              <w:t>Functional diversity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785C0C">
              <w:rPr>
                <w:iCs/>
                <w:sz w:val="12"/>
                <w:szCs w:val="12"/>
                <w:lang w:val="en-US" w:eastAsia="nl-NL"/>
              </w:rPr>
              <w:t>Functional diversity is the v</w:t>
            </w:r>
            <w:r w:rsidRPr="00FD74E9">
              <w:rPr>
                <w:iCs/>
                <w:sz w:val="12"/>
                <w:szCs w:val="12"/>
                <w:lang w:val="en-US" w:eastAsia="nl-NL"/>
              </w:rPr>
              <w:t>ariety of (ecosystem) services that components provide to the system</w:t>
            </w:r>
          </w:p>
        </w:tc>
        <w:tc>
          <w:tcPr>
            <w:tcW w:w="2240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416F1D">
              <w:rPr>
                <w:iCs/>
                <w:sz w:val="12"/>
                <w:szCs w:val="12"/>
                <w:lang w:val="en-US" w:eastAsia="nl-NL"/>
              </w:rPr>
              <w:t>Diversity buffers against perturbations (insurance) and provides seeds of renewal following disturbance</w:t>
            </w:r>
          </w:p>
        </w:tc>
        <w:tc>
          <w:tcPr>
            <w:tcW w:w="2343" w:type="dxa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8C2809">
              <w:rPr>
                <w:iCs/>
                <w:sz w:val="12"/>
                <w:szCs w:val="12"/>
                <w:lang w:val="en-US" w:eastAsia="nl-NL"/>
              </w:rPr>
              <w:t>There is a high variety of inputs, outputs,</w:t>
            </w:r>
            <w:r w:rsidRPr="00D22A71">
              <w:rPr>
                <w:iCs/>
                <w:sz w:val="12"/>
                <w:szCs w:val="12"/>
                <w:lang w:val="en-US" w:eastAsia="nl-NL"/>
              </w:rPr>
              <w:t xml:space="preserve"> income sources and m</w:t>
            </w:r>
            <w:r w:rsidRPr="008C3723">
              <w:rPr>
                <w:iCs/>
                <w:sz w:val="12"/>
                <w:szCs w:val="12"/>
                <w:lang w:val="en-US" w:eastAsia="nl-NL"/>
              </w:rPr>
              <w:t>arkets</w:t>
            </w:r>
          </w:p>
        </w:tc>
        <w:tc>
          <w:tcPr>
            <w:tcW w:w="1134" w:type="dxa"/>
          </w:tcPr>
          <w:p w:rsidR="00D61AB6" w:rsidRPr="008C3723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8C3723">
              <w:rPr>
                <w:iCs/>
                <w:sz w:val="12"/>
                <w:szCs w:val="12"/>
                <w:lang w:val="en-US" w:eastAsia="nl-NL"/>
              </w:rPr>
              <w:t>Diversity</w:t>
            </w:r>
          </w:p>
        </w:tc>
      </w:tr>
      <w:tr w:rsidR="00D61AB6" w:rsidRPr="00CF0D36" w:rsidTr="00D12398">
        <w:trPr>
          <w:trHeight w:val="769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785C0C">
              <w:rPr>
                <w:iCs/>
                <w:sz w:val="12"/>
                <w:szCs w:val="12"/>
                <w:lang w:val="en-US" w:eastAsia="nl-NL"/>
              </w:rPr>
              <w:t>Response diversity</w:t>
            </w:r>
          </w:p>
        </w:tc>
        <w:tc>
          <w:tcPr>
            <w:tcW w:w="1754" w:type="dxa"/>
            <w:hideMark/>
          </w:tcPr>
          <w:p w:rsidR="00D61AB6" w:rsidRPr="00FD74E9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785C0C">
              <w:rPr>
                <w:iCs/>
                <w:sz w:val="12"/>
                <w:szCs w:val="12"/>
                <w:lang w:val="en-US" w:eastAsia="nl-NL"/>
              </w:rPr>
              <w:t>Response diversity is the range of responses of these components to environmental change</w:t>
            </w:r>
          </w:p>
        </w:tc>
        <w:tc>
          <w:tcPr>
            <w:tcW w:w="2240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416F1D">
              <w:rPr>
                <w:iCs/>
                <w:sz w:val="12"/>
                <w:szCs w:val="12"/>
                <w:lang w:val="en-US" w:eastAsia="nl-NL"/>
              </w:rPr>
              <w:t>Diversity buffers against perturbations (insurance) and provides seeds of renewal following disturbance</w:t>
            </w:r>
          </w:p>
        </w:tc>
        <w:tc>
          <w:tcPr>
            <w:tcW w:w="2343" w:type="dxa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8C2809">
              <w:rPr>
                <w:bCs/>
                <w:iCs/>
                <w:sz w:val="12"/>
                <w:szCs w:val="12"/>
                <w:lang w:val="en-US" w:eastAsia="nl-NL"/>
              </w:rPr>
              <w:t>There is a high diversity of risk management</w:t>
            </w:r>
            <w:r w:rsidRPr="00D22A71">
              <w:rPr>
                <w:bCs/>
                <w:iCs/>
                <w:sz w:val="12"/>
                <w:szCs w:val="12"/>
                <w:lang w:val="en-US" w:eastAsia="nl-NL"/>
              </w:rPr>
              <w:t xml:space="preserve"> strategies</w:t>
            </w:r>
            <w:r w:rsidRPr="00D22A71">
              <w:rPr>
                <w:iCs/>
                <w:sz w:val="12"/>
                <w:szCs w:val="12"/>
                <w:lang w:val="en-US" w:eastAsia="nl-NL"/>
              </w:rPr>
              <w:t xml:space="preserve">, e.g. different pest controls, </w:t>
            </w:r>
            <w:r w:rsidRPr="008C3723">
              <w:rPr>
                <w:bCs/>
                <w:iCs/>
                <w:sz w:val="12"/>
                <w:szCs w:val="12"/>
                <w:lang w:val="en-US" w:eastAsia="nl-NL"/>
              </w:rPr>
              <w:t>weather insurance, flexible payment arrangements</w:t>
            </w:r>
          </w:p>
        </w:tc>
        <w:tc>
          <w:tcPr>
            <w:tcW w:w="1134" w:type="dxa"/>
          </w:tcPr>
          <w:p w:rsidR="00D61AB6" w:rsidRPr="008F586A" w:rsidRDefault="00D61AB6" w:rsidP="00D12398">
            <w:pPr>
              <w:spacing w:after="0" w:line="240" w:lineRule="auto"/>
              <w:rPr>
                <w:iCs/>
                <w:sz w:val="12"/>
                <w:szCs w:val="12"/>
                <w:lang w:val="en-US" w:eastAsia="nl-NL"/>
              </w:rPr>
            </w:pPr>
            <w:r w:rsidRPr="00FB39A3">
              <w:rPr>
                <w:iCs/>
                <w:sz w:val="12"/>
                <w:szCs w:val="12"/>
                <w:lang w:val="en-US" w:eastAsia="nl-NL"/>
              </w:rPr>
              <w:t>Diversity</w:t>
            </w:r>
          </w:p>
        </w:tc>
      </w:tr>
      <w:tr w:rsidR="00D61AB6" w:rsidRPr="00CF0D36" w:rsidTr="00D12398">
        <w:trPr>
          <w:trHeight w:val="976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>Exposed to disturbance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>The system is exposed to discrete, low-leve</w:t>
            </w:r>
            <w:r w:rsidRPr="00FD74E9">
              <w:rPr>
                <w:sz w:val="12"/>
                <w:szCs w:val="12"/>
                <w:lang w:val="en-US" w:eastAsia="nl-NL"/>
              </w:rPr>
              <w:t xml:space="preserve">l events that cause </w:t>
            </w:r>
            <w:r w:rsidRPr="00416F1D">
              <w:rPr>
                <w:sz w:val="12"/>
                <w:szCs w:val="12"/>
                <w:lang w:val="en-US" w:eastAsia="nl-NL"/>
              </w:rPr>
              <w:t>disruptions without pushing the system beyond a critical threshold</w:t>
            </w:r>
          </w:p>
        </w:tc>
        <w:tc>
          <w:tcPr>
            <w:tcW w:w="2240" w:type="dxa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8C2809">
              <w:rPr>
                <w:sz w:val="12"/>
                <w:szCs w:val="12"/>
                <w:lang w:val="en-US" w:eastAsia="nl-NL"/>
              </w:rPr>
              <w:t>Such frequent, small-scale disturbances can increase system resilience and adaptability in the long term by promoting natural selection and novel configurations during t</w:t>
            </w:r>
            <w:r w:rsidRPr="00D22A71">
              <w:rPr>
                <w:sz w:val="12"/>
                <w:szCs w:val="12"/>
                <w:lang w:val="en-US" w:eastAsia="nl-NL"/>
              </w:rPr>
              <w:t>he phase of renewal; described as “creative destruct</w:t>
            </w:r>
            <w:r w:rsidRPr="008C3723">
              <w:rPr>
                <w:sz w:val="12"/>
                <w:szCs w:val="12"/>
                <w:lang w:val="en-US" w:eastAsia="nl-NL"/>
              </w:rPr>
              <w:t>ion”</w:t>
            </w:r>
          </w:p>
        </w:tc>
        <w:tc>
          <w:tcPr>
            <w:tcW w:w="2343" w:type="dxa"/>
            <w:hideMark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8C3723">
              <w:rPr>
                <w:sz w:val="12"/>
                <w:szCs w:val="12"/>
                <w:lang w:val="en-US" w:eastAsia="nl-NL"/>
              </w:rPr>
              <w:t>The amount of year to year ec</w:t>
            </w:r>
            <w:r w:rsidRPr="00FB39A3">
              <w:rPr>
                <w:sz w:val="12"/>
                <w:szCs w:val="12"/>
                <w:lang w:val="en-US" w:eastAsia="nl-NL"/>
              </w:rPr>
              <w:t>onomic, environmental, social or institutional disturbance is small (well dosed) in order to timely adapt to a changing environment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CF0D36">
              <w:rPr>
                <w:sz w:val="12"/>
                <w:szCs w:val="12"/>
                <w:lang w:val="en-US" w:eastAsia="nl-NL"/>
              </w:rPr>
              <w:t>Openness</w:t>
            </w:r>
          </w:p>
        </w:tc>
      </w:tr>
      <w:tr w:rsidR="00D61AB6" w:rsidRPr="00CF0D36" w:rsidTr="00D12398">
        <w:trPr>
          <w:trHeight w:val="650"/>
          <w:tblHeader/>
        </w:trPr>
        <w:tc>
          <w:tcPr>
            <w:tcW w:w="1843" w:type="dxa"/>
            <w:hideMark/>
          </w:tcPr>
          <w:p w:rsidR="00D61AB6" w:rsidRPr="00FD74E9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>Spatial and temporal heterogeneity</w:t>
            </w:r>
            <w:r w:rsidRPr="00785C0C">
              <w:rPr>
                <w:bCs/>
                <w:sz w:val="12"/>
                <w:szCs w:val="12"/>
                <w:lang w:val="en-US" w:eastAsia="nl-NL"/>
              </w:rPr>
              <w:t xml:space="preserve"> of farm types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416F1D">
              <w:rPr>
                <w:sz w:val="12"/>
                <w:szCs w:val="12"/>
                <w:lang w:val="en-US" w:eastAsia="nl-NL"/>
              </w:rPr>
              <w:t>Patchiness across the landscape and changes through time</w:t>
            </w:r>
          </w:p>
        </w:tc>
        <w:tc>
          <w:tcPr>
            <w:tcW w:w="2240" w:type="dxa"/>
            <w:hideMark/>
          </w:tcPr>
          <w:p w:rsidR="00D61AB6" w:rsidRPr="00D22A71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8C2809">
              <w:rPr>
                <w:sz w:val="12"/>
                <w:szCs w:val="12"/>
                <w:lang w:val="en-US" w:eastAsia="nl-NL"/>
              </w:rPr>
              <w:t>Like diversity, spatial heterogeneity provides seeds of renewal following disturbance</w:t>
            </w:r>
          </w:p>
        </w:tc>
        <w:tc>
          <w:tcPr>
            <w:tcW w:w="2343" w:type="dxa"/>
            <w:hideMark/>
          </w:tcPr>
          <w:p w:rsidR="00D61AB6" w:rsidRPr="008F586A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8C3723">
              <w:rPr>
                <w:bCs/>
                <w:sz w:val="12"/>
                <w:szCs w:val="12"/>
                <w:lang w:val="en-US" w:eastAsia="nl-NL"/>
              </w:rPr>
              <w:t xml:space="preserve">There is a high diversity of farm types with regard to economic size, intensity, orientation and degree of </w:t>
            </w:r>
            <w:r w:rsidRPr="00FB39A3">
              <w:rPr>
                <w:bCs/>
                <w:sz w:val="12"/>
                <w:szCs w:val="12"/>
                <w:lang w:val="en-US" w:eastAsia="nl-NL"/>
              </w:rPr>
              <w:t>specialization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CF0D36">
              <w:rPr>
                <w:bCs/>
                <w:sz w:val="12"/>
                <w:szCs w:val="12"/>
                <w:lang w:val="en-US" w:eastAsia="nl-NL"/>
              </w:rPr>
              <w:t>Modularity, diversity</w:t>
            </w:r>
          </w:p>
        </w:tc>
      </w:tr>
      <w:tr w:rsidR="00D61AB6" w:rsidRPr="00CF0D36" w:rsidTr="00D12398">
        <w:trPr>
          <w:trHeight w:val="902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bCs/>
                <w:iCs/>
                <w:sz w:val="12"/>
                <w:szCs w:val="12"/>
                <w:lang w:val="en-US" w:eastAsia="nl-NL"/>
              </w:rPr>
            </w:pPr>
            <w:r w:rsidRPr="00785C0C">
              <w:rPr>
                <w:iCs/>
                <w:sz w:val="12"/>
                <w:szCs w:val="12"/>
                <w:lang w:val="en-US" w:eastAsia="nl-NL"/>
              </w:rPr>
              <w:t xml:space="preserve">Optimally redundant </w:t>
            </w:r>
            <w:r w:rsidRPr="00785C0C">
              <w:rPr>
                <w:bCs/>
                <w:iCs/>
                <w:sz w:val="12"/>
                <w:szCs w:val="12"/>
                <w:lang w:val="en-US" w:eastAsia="nl-NL"/>
              </w:rPr>
              <w:t>farms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iCs/>
                <w:sz w:val="12"/>
                <w:szCs w:val="12"/>
                <w:vertAlign w:val="superscript"/>
                <w:lang w:val="en-US" w:eastAsia="nl-NL"/>
              </w:rPr>
            </w:pPr>
            <w:r w:rsidRPr="00FD74E9">
              <w:rPr>
                <w:iCs/>
                <w:sz w:val="12"/>
                <w:szCs w:val="12"/>
                <w:lang w:val="en-US" w:eastAsia="nl-NL"/>
              </w:rPr>
              <w:t>Cri</w:t>
            </w:r>
            <w:r w:rsidRPr="00416F1D">
              <w:rPr>
                <w:iCs/>
                <w:sz w:val="12"/>
                <w:szCs w:val="12"/>
                <w:lang w:val="en-US" w:eastAsia="nl-NL"/>
              </w:rPr>
              <w:t>tical components and relationships within the system are duplicated in case of failure</w:t>
            </w:r>
          </w:p>
        </w:tc>
        <w:tc>
          <w:tcPr>
            <w:tcW w:w="2240" w:type="dxa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iCs/>
                <w:sz w:val="12"/>
                <w:szCs w:val="12"/>
                <w:vertAlign w:val="superscript"/>
                <w:lang w:val="en-US" w:eastAsia="nl-NL"/>
              </w:rPr>
            </w:pPr>
            <w:r w:rsidRPr="00416F1D">
              <w:rPr>
                <w:iCs/>
                <w:sz w:val="12"/>
                <w:szCs w:val="12"/>
                <w:lang w:val="en-US" w:eastAsia="nl-NL"/>
              </w:rPr>
              <w:t>Redundancy may decrease a system’s efficiency, but it gives the system multiple back-ups</w:t>
            </w:r>
            <w:r w:rsidRPr="008C2809">
              <w:rPr>
                <w:iCs/>
                <w:sz w:val="12"/>
                <w:szCs w:val="12"/>
                <w:lang w:val="en-US" w:eastAsia="nl-NL"/>
              </w:rPr>
              <w:t xml:space="preserve">, increases buffering capacity, and provides seeds </w:t>
            </w:r>
            <w:r w:rsidRPr="00D22A71">
              <w:rPr>
                <w:iCs/>
                <w:sz w:val="12"/>
                <w:szCs w:val="12"/>
                <w:lang w:val="en-US" w:eastAsia="nl-NL"/>
              </w:rPr>
              <w:t>of renewal following disturba</w:t>
            </w:r>
            <w:r w:rsidRPr="008C3723">
              <w:rPr>
                <w:iCs/>
                <w:sz w:val="12"/>
                <w:szCs w:val="12"/>
                <w:lang w:val="en-US" w:eastAsia="nl-NL"/>
              </w:rPr>
              <w:t>nce</w:t>
            </w:r>
          </w:p>
        </w:tc>
        <w:tc>
          <w:tcPr>
            <w:tcW w:w="2343" w:type="dxa"/>
            <w:hideMark/>
          </w:tcPr>
          <w:p w:rsidR="00D61AB6" w:rsidRPr="00FB39A3" w:rsidRDefault="00D61AB6" w:rsidP="00D12398">
            <w:pPr>
              <w:spacing w:after="0" w:line="240" w:lineRule="auto"/>
              <w:rPr>
                <w:bCs/>
                <w:iCs/>
                <w:sz w:val="12"/>
                <w:szCs w:val="12"/>
                <w:lang w:val="en-US" w:eastAsia="nl-NL"/>
              </w:rPr>
            </w:pPr>
            <w:r w:rsidRPr="008C3723">
              <w:rPr>
                <w:bCs/>
                <w:iCs/>
                <w:sz w:val="12"/>
                <w:szCs w:val="12"/>
                <w:lang w:val="en-US" w:eastAsia="nl-NL"/>
              </w:rPr>
              <w:t>Farmers can stop without endangering continuation of the farming system and new farmers can enter the farming system easily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iCs/>
                <w:sz w:val="12"/>
                <w:szCs w:val="12"/>
                <w:lang w:val="en-US" w:eastAsia="nl-NL"/>
              </w:rPr>
            </w:pPr>
            <w:r w:rsidRPr="00CF0D36">
              <w:rPr>
                <w:bCs/>
                <w:iCs/>
                <w:sz w:val="12"/>
                <w:szCs w:val="12"/>
                <w:lang w:val="en-US" w:eastAsia="nl-NL"/>
              </w:rPr>
              <w:t>Modularity</w:t>
            </w:r>
          </w:p>
        </w:tc>
      </w:tr>
      <w:tr w:rsidR="00D61AB6" w:rsidRPr="00CF0D36" w:rsidTr="00D12398">
        <w:trPr>
          <w:trHeight w:val="984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bCs/>
                <w:sz w:val="12"/>
                <w:szCs w:val="12"/>
                <w:vertAlign w:val="superscript"/>
                <w:lang w:val="en-US" w:eastAsia="nl-NL"/>
              </w:rPr>
            </w:pPr>
            <w:r w:rsidRPr="00785C0C">
              <w:rPr>
                <w:bCs/>
                <w:sz w:val="12"/>
                <w:szCs w:val="12"/>
                <w:lang w:val="en-US" w:eastAsia="nl-NL"/>
              </w:rPr>
              <w:t>Supports rural life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785C0C">
              <w:rPr>
                <w:bCs/>
                <w:sz w:val="12"/>
                <w:szCs w:val="12"/>
                <w:lang w:val="en-US" w:eastAsia="nl-NL"/>
              </w:rPr>
              <w:t>The activities in the farming system attract and maintain  a health</w:t>
            </w:r>
            <w:r w:rsidRPr="00FD74E9">
              <w:rPr>
                <w:bCs/>
                <w:sz w:val="12"/>
                <w:szCs w:val="12"/>
                <w:lang w:val="en-US" w:eastAsia="nl-NL"/>
              </w:rPr>
              <w:t>y and a</w:t>
            </w:r>
            <w:r w:rsidRPr="00416F1D">
              <w:rPr>
                <w:bCs/>
                <w:sz w:val="12"/>
                <w:szCs w:val="12"/>
                <w:lang w:val="en-US" w:eastAsia="nl-NL"/>
              </w:rPr>
              <w:t>dequate workforce, including young, intermediate and older people.</w:t>
            </w:r>
          </w:p>
        </w:tc>
        <w:tc>
          <w:tcPr>
            <w:tcW w:w="2240" w:type="dxa"/>
            <w:hideMark/>
          </w:tcPr>
          <w:p w:rsidR="00D61AB6" w:rsidRPr="00D22A71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416F1D">
              <w:rPr>
                <w:bCs/>
                <w:sz w:val="12"/>
                <w:szCs w:val="12"/>
                <w:lang w:val="en-US" w:eastAsia="nl-NL"/>
              </w:rPr>
              <w:t>A healthy workforce that includes multiple generations will ensure continuation of activities and facilities in the</w:t>
            </w:r>
            <w:r w:rsidRPr="008C2809">
              <w:rPr>
                <w:bCs/>
                <w:sz w:val="12"/>
                <w:szCs w:val="12"/>
                <w:lang w:val="en-US" w:eastAsia="nl-NL"/>
              </w:rPr>
              <w:t xml:space="preserve"> area, and the </w:t>
            </w:r>
            <w:r w:rsidRPr="00D22A71">
              <w:rPr>
                <w:bCs/>
                <w:sz w:val="12"/>
                <w:szCs w:val="12"/>
                <w:lang w:val="en-US" w:eastAsia="nl-NL"/>
              </w:rPr>
              <w:t>timely transfer of knowledge.</w:t>
            </w:r>
          </w:p>
        </w:tc>
        <w:tc>
          <w:tcPr>
            <w:tcW w:w="2343" w:type="dxa"/>
            <w:hideMark/>
          </w:tcPr>
          <w:p w:rsidR="00D61AB6" w:rsidRPr="00FB39A3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8C3723">
              <w:rPr>
                <w:bCs/>
                <w:sz w:val="12"/>
                <w:szCs w:val="12"/>
                <w:lang w:val="en-US" w:eastAsia="nl-NL"/>
              </w:rPr>
              <w:t>Rural life is supported by the presence of people from all generations, and also supported by enough facilities in the nearby area (e.g. supermarkets, hospital, shops)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CF0D36">
              <w:rPr>
                <w:bCs/>
                <w:sz w:val="12"/>
                <w:szCs w:val="12"/>
                <w:lang w:val="en-US" w:eastAsia="nl-NL"/>
              </w:rPr>
              <w:t>Systems reserves (social capital)</w:t>
            </w:r>
          </w:p>
        </w:tc>
      </w:tr>
      <w:tr w:rsidR="00D61AB6" w:rsidRPr="00CF0D36" w:rsidTr="00D12398">
        <w:trPr>
          <w:trHeight w:val="800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>Socially self-organized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>The social components of the agroecosystem are able</w:t>
            </w:r>
            <w:r w:rsidRPr="00FD74E9">
              <w:rPr>
                <w:sz w:val="12"/>
                <w:szCs w:val="12"/>
                <w:lang w:val="en-US" w:eastAsia="nl-NL"/>
              </w:rPr>
              <w:t xml:space="preserve"> to for</w:t>
            </w:r>
            <w:r w:rsidRPr="00416F1D">
              <w:rPr>
                <w:sz w:val="12"/>
                <w:szCs w:val="12"/>
                <w:lang w:val="en-US" w:eastAsia="nl-NL"/>
              </w:rPr>
              <w:t>m their own configuration based on their needs and desires</w:t>
            </w:r>
          </w:p>
        </w:tc>
        <w:tc>
          <w:tcPr>
            <w:tcW w:w="2240" w:type="dxa"/>
            <w:hideMark/>
          </w:tcPr>
          <w:p w:rsidR="00D61AB6" w:rsidRPr="00D22A71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416F1D">
              <w:rPr>
                <w:sz w:val="12"/>
                <w:szCs w:val="12"/>
                <w:lang w:val="en-US" w:eastAsia="nl-NL"/>
              </w:rPr>
              <w:t>Systems that exhibit greater level of self-organization need fewer feedbacks introduced by managers and have greate</w:t>
            </w:r>
            <w:r w:rsidRPr="008C2809">
              <w:rPr>
                <w:sz w:val="12"/>
                <w:szCs w:val="12"/>
                <w:lang w:val="en-US" w:eastAsia="nl-NL"/>
              </w:rPr>
              <w:t>r intrinsic adaptive ca</w:t>
            </w:r>
            <w:r w:rsidRPr="00D22A71">
              <w:rPr>
                <w:sz w:val="12"/>
                <w:szCs w:val="12"/>
                <w:lang w:val="en-US" w:eastAsia="nl-NL"/>
              </w:rPr>
              <w:t>pacity</w:t>
            </w:r>
          </w:p>
        </w:tc>
        <w:tc>
          <w:tcPr>
            <w:tcW w:w="2343" w:type="dxa"/>
            <w:hideMark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8C3723">
              <w:rPr>
                <w:sz w:val="12"/>
                <w:szCs w:val="12"/>
                <w:lang w:val="en-US" w:eastAsia="nl-NL"/>
              </w:rPr>
              <w:t xml:space="preserve">Farmers are able to organize themselves into networks and institutions </w:t>
            </w:r>
            <w:r w:rsidRPr="00FB39A3">
              <w:rPr>
                <w:sz w:val="12"/>
                <w:szCs w:val="12"/>
                <w:lang w:val="en-US" w:eastAsia="nl-NL"/>
              </w:rPr>
              <w:t>such as co-ops, community associations, advisory networks and clusters with the processing industry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CF0D36">
              <w:rPr>
                <w:sz w:val="12"/>
                <w:szCs w:val="12"/>
                <w:lang w:val="en-US" w:eastAsia="nl-NL"/>
              </w:rPr>
              <w:t>Tightness of feedbacks, system reserves (social capital)</w:t>
            </w:r>
          </w:p>
        </w:tc>
      </w:tr>
      <w:tr w:rsidR="00D61AB6" w:rsidRPr="00CF0D36" w:rsidTr="00D12398">
        <w:trPr>
          <w:trHeight w:val="757"/>
          <w:tblHeader/>
        </w:trPr>
        <w:tc>
          <w:tcPr>
            <w:tcW w:w="1843" w:type="dxa"/>
            <w:hideMark/>
          </w:tcPr>
          <w:p w:rsidR="00D61AB6" w:rsidRPr="00FD74E9" w:rsidRDefault="00D61AB6" w:rsidP="00D12398">
            <w:pPr>
              <w:spacing w:after="0" w:line="240" w:lineRule="auto"/>
              <w:rPr>
                <w:sz w:val="12"/>
                <w:szCs w:val="12"/>
                <w:vertAlign w:val="superscript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 xml:space="preserve">Appropriately connected </w:t>
            </w:r>
            <w:r w:rsidRPr="00785C0C">
              <w:rPr>
                <w:bCs/>
                <w:sz w:val="12"/>
                <w:szCs w:val="12"/>
                <w:lang w:val="en-US" w:eastAsia="nl-NL"/>
              </w:rPr>
              <w:t>with actors outside the farming system</w:t>
            </w:r>
          </w:p>
        </w:tc>
        <w:tc>
          <w:tcPr>
            <w:tcW w:w="1754" w:type="dxa"/>
            <w:hideMark/>
          </w:tcPr>
          <w:p w:rsidR="00D61AB6" w:rsidRPr="008C2809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416F1D">
              <w:rPr>
                <w:bCs/>
                <w:sz w:val="12"/>
                <w:szCs w:val="12"/>
                <w:lang w:val="en-US" w:eastAsia="nl-NL"/>
              </w:rPr>
              <w:t>The social components of the agroecosystem are able to form ties with actors outside their farming system</w:t>
            </w:r>
          </w:p>
        </w:tc>
        <w:tc>
          <w:tcPr>
            <w:tcW w:w="2240" w:type="dxa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D22A71">
              <w:rPr>
                <w:bCs/>
                <w:sz w:val="12"/>
                <w:szCs w:val="12"/>
                <w:lang w:val="en-US" w:eastAsia="nl-NL"/>
              </w:rPr>
              <w:t xml:space="preserve">In case self-organization fails, signals can be send to actors that </w:t>
            </w:r>
            <w:r w:rsidRPr="008C3723">
              <w:rPr>
                <w:bCs/>
                <w:sz w:val="12"/>
                <w:szCs w:val="12"/>
                <w:lang w:val="en-US" w:eastAsia="nl-NL"/>
              </w:rPr>
              <w:t>indirectly influence the farming system</w:t>
            </w:r>
          </w:p>
        </w:tc>
        <w:tc>
          <w:tcPr>
            <w:tcW w:w="2343" w:type="dxa"/>
            <w:hideMark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FB39A3">
              <w:rPr>
                <w:bCs/>
                <w:sz w:val="12"/>
                <w:szCs w:val="12"/>
                <w:lang w:val="en-US" w:eastAsia="nl-NL"/>
              </w:rPr>
              <w:t>Farmers and ot</w:t>
            </w:r>
            <w:r w:rsidRPr="008F586A">
              <w:rPr>
                <w:bCs/>
                <w:sz w:val="12"/>
                <w:szCs w:val="12"/>
                <w:lang w:val="en-US" w:eastAsia="nl-NL"/>
              </w:rPr>
              <w:t xml:space="preserve">her actors in the farming system are </w:t>
            </w:r>
            <w:r w:rsidRPr="00CF0D36">
              <w:rPr>
                <w:bCs/>
                <w:sz w:val="12"/>
                <w:szCs w:val="12"/>
                <w:lang w:val="en-US" w:eastAsia="nl-NL"/>
              </w:rPr>
              <w:t>able to reach out to policy makers, suppliers and markets that operate at the national and EU  level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CF0D36">
              <w:rPr>
                <w:sz w:val="12"/>
                <w:szCs w:val="12"/>
                <w:lang w:val="en-US" w:eastAsia="nl-NL"/>
              </w:rPr>
              <w:t>Tightness of feedbacks</w:t>
            </w:r>
          </w:p>
        </w:tc>
      </w:tr>
      <w:tr w:rsidR="00D61AB6" w:rsidRPr="00CF0D36" w:rsidTr="00D12398">
        <w:trPr>
          <w:trHeight w:val="868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785C0C">
              <w:rPr>
                <w:sz w:val="12"/>
                <w:szCs w:val="12"/>
                <w:lang w:val="en-US" w:eastAsia="nl-NL"/>
              </w:rPr>
              <w:t>Legislation coupled with local and natural capital</w:t>
            </w:r>
          </w:p>
        </w:tc>
        <w:tc>
          <w:tcPr>
            <w:tcW w:w="1754" w:type="dxa"/>
            <w:hideMark/>
          </w:tcPr>
          <w:p w:rsidR="00D61AB6" w:rsidRPr="00D22A71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FD74E9">
              <w:rPr>
                <w:bCs/>
                <w:sz w:val="12"/>
                <w:szCs w:val="12"/>
                <w:lang w:val="en-US" w:eastAsia="nl-NL"/>
              </w:rPr>
              <w:t>Regulations are developed to</w:t>
            </w:r>
            <w:r w:rsidRPr="00416F1D">
              <w:rPr>
                <w:bCs/>
                <w:sz w:val="12"/>
                <w:szCs w:val="12"/>
                <w:lang w:val="en-US" w:eastAsia="nl-NL"/>
              </w:rPr>
              <w:t xml:space="preserve"> let</w:t>
            </w:r>
            <w:r w:rsidRPr="00416F1D">
              <w:rPr>
                <w:sz w:val="12"/>
                <w:szCs w:val="12"/>
                <w:lang w:val="en-US" w:eastAsia="nl-NL"/>
              </w:rPr>
              <w:t xml:space="preserve"> the system function as much as possible within the means of the bi</w:t>
            </w:r>
            <w:r w:rsidRPr="008C2809">
              <w:rPr>
                <w:sz w:val="12"/>
                <w:szCs w:val="12"/>
                <w:lang w:val="en-US" w:eastAsia="nl-NL"/>
              </w:rPr>
              <w:t>o-regionally available natural resource base and ecosystem services</w:t>
            </w:r>
          </w:p>
        </w:tc>
        <w:tc>
          <w:tcPr>
            <w:tcW w:w="2240" w:type="dxa"/>
            <w:hideMark/>
          </w:tcPr>
          <w:p w:rsidR="00D61AB6" w:rsidRPr="00CF0D36" w:rsidRDefault="00D61AB6" w:rsidP="00D12398">
            <w:pPr>
              <w:spacing w:after="0" w:line="240" w:lineRule="auto"/>
              <w:rPr>
                <w:sz w:val="12"/>
                <w:szCs w:val="12"/>
                <w:lang w:val="en-US" w:eastAsia="nl-NL"/>
              </w:rPr>
            </w:pPr>
            <w:r w:rsidRPr="008C3723">
              <w:rPr>
                <w:sz w:val="12"/>
                <w:szCs w:val="12"/>
                <w:lang w:val="en-US" w:eastAsia="nl-NL"/>
              </w:rPr>
              <w:t>Responsible use of local resources encourages a system to live within its means; this creates an agroecosystem that r</w:t>
            </w:r>
            <w:r w:rsidRPr="00FB39A3">
              <w:rPr>
                <w:sz w:val="12"/>
                <w:szCs w:val="12"/>
                <w:lang w:val="en-US" w:eastAsia="nl-NL"/>
              </w:rPr>
              <w:t>e</w:t>
            </w:r>
            <w:r w:rsidRPr="008F586A">
              <w:rPr>
                <w:sz w:val="12"/>
                <w:szCs w:val="12"/>
                <w:lang w:val="en-US" w:eastAsia="nl-NL"/>
              </w:rPr>
              <w:t xml:space="preserve">cycles waste, </w:t>
            </w:r>
            <w:r w:rsidRPr="00CF0D36">
              <w:rPr>
                <w:sz w:val="12"/>
                <w:szCs w:val="12"/>
                <w:lang w:val="en-US" w:eastAsia="nl-NL"/>
              </w:rPr>
              <w:t>relies on healthy soil, and conserves water</w:t>
            </w:r>
          </w:p>
        </w:tc>
        <w:tc>
          <w:tcPr>
            <w:tcW w:w="2343" w:type="dxa"/>
            <w:hideMark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CF0D36">
              <w:rPr>
                <w:bCs/>
                <w:sz w:val="12"/>
                <w:szCs w:val="12"/>
                <w:lang w:val="en-US" w:eastAsia="nl-NL"/>
              </w:rPr>
              <w:t>Norms, legislation and regulatory frameworks are well adapted to the local conditions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CF0D36">
              <w:rPr>
                <w:bCs/>
                <w:sz w:val="12"/>
                <w:szCs w:val="12"/>
                <w:lang w:val="en-US" w:eastAsia="nl-NL"/>
              </w:rPr>
              <w:t>Systems reserves (social capital)</w:t>
            </w:r>
          </w:p>
        </w:tc>
      </w:tr>
      <w:tr w:rsidR="00D61AB6" w:rsidRPr="00CF0D36" w:rsidTr="00D12398">
        <w:trPr>
          <w:trHeight w:val="683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bCs/>
                <w:sz w:val="12"/>
                <w:szCs w:val="12"/>
                <w:vertAlign w:val="superscript"/>
                <w:lang w:val="en-US" w:eastAsia="nl-NL"/>
              </w:rPr>
            </w:pPr>
            <w:r w:rsidRPr="00785C0C">
              <w:rPr>
                <w:bCs/>
                <w:sz w:val="12"/>
                <w:szCs w:val="12"/>
                <w:lang w:val="en-US" w:eastAsia="nl-NL"/>
              </w:rPr>
              <w:t>Infrastructure for innovation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FD74E9">
              <w:rPr>
                <w:bCs/>
                <w:sz w:val="12"/>
                <w:szCs w:val="12"/>
                <w:lang w:val="en-US" w:eastAsia="nl-NL"/>
              </w:rPr>
              <w:t xml:space="preserve">Existing infrastructure facilitates diffusion </w:t>
            </w:r>
            <w:r w:rsidRPr="00416F1D">
              <w:rPr>
                <w:bCs/>
                <w:sz w:val="12"/>
                <w:szCs w:val="12"/>
                <w:lang w:val="en-US" w:eastAsia="nl-NL"/>
              </w:rPr>
              <w:t>of knowledge and adoption of cutting-edge technologies (e.g. digital)</w:t>
            </w:r>
          </w:p>
        </w:tc>
        <w:tc>
          <w:tcPr>
            <w:tcW w:w="2240" w:type="dxa"/>
            <w:hideMark/>
          </w:tcPr>
          <w:p w:rsidR="00D61AB6" w:rsidRPr="008C3723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8C2809">
              <w:rPr>
                <w:bCs/>
                <w:sz w:val="12"/>
                <w:szCs w:val="12"/>
                <w:lang w:val="en-US" w:eastAsia="nl-NL"/>
              </w:rPr>
              <w:t>Through timely adoption of new knowledge and technologies, a farming system can better navigate in a changing</w:t>
            </w:r>
            <w:r w:rsidRPr="00D22A71">
              <w:rPr>
                <w:bCs/>
                <w:sz w:val="12"/>
                <w:szCs w:val="12"/>
                <w:lang w:val="en-US" w:eastAsia="nl-NL"/>
              </w:rPr>
              <w:t xml:space="preserve"> environment</w:t>
            </w:r>
          </w:p>
        </w:tc>
        <w:tc>
          <w:tcPr>
            <w:tcW w:w="2343" w:type="dxa"/>
            <w:hideMark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8C3723">
              <w:rPr>
                <w:bCs/>
                <w:sz w:val="12"/>
                <w:szCs w:val="12"/>
                <w:lang w:val="en-US" w:eastAsia="nl-NL"/>
              </w:rPr>
              <w:t>Existing infrastructure facilitates knowledge and adoption of cu</w:t>
            </w:r>
            <w:r w:rsidRPr="00FB39A3">
              <w:rPr>
                <w:bCs/>
                <w:sz w:val="12"/>
                <w:szCs w:val="12"/>
                <w:lang w:val="en-US" w:eastAsia="nl-NL"/>
              </w:rPr>
              <w:t>t</w:t>
            </w:r>
            <w:r w:rsidRPr="008F586A">
              <w:rPr>
                <w:bCs/>
                <w:sz w:val="12"/>
                <w:szCs w:val="12"/>
                <w:lang w:val="en-US" w:eastAsia="nl-NL"/>
              </w:rPr>
              <w:t>ting-edge tech</w:t>
            </w:r>
            <w:r w:rsidRPr="00CF0D36">
              <w:rPr>
                <w:bCs/>
                <w:sz w:val="12"/>
                <w:szCs w:val="12"/>
                <w:lang w:val="en-US" w:eastAsia="nl-NL"/>
              </w:rPr>
              <w:t>nologies (e.g. digital)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CF0D36">
              <w:rPr>
                <w:bCs/>
                <w:sz w:val="12"/>
                <w:szCs w:val="12"/>
                <w:lang w:val="en-US" w:eastAsia="nl-NL"/>
              </w:rPr>
              <w:t>Openness, system reserves</w:t>
            </w:r>
          </w:p>
        </w:tc>
      </w:tr>
      <w:tr w:rsidR="00D61AB6" w:rsidRPr="00CF0D36" w:rsidTr="00D12398">
        <w:trPr>
          <w:trHeight w:val="281"/>
          <w:tblHeader/>
        </w:trPr>
        <w:tc>
          <w:tcPr>
            <w:tcW w:w="1843" w:type="dxa"/>
            <w:hideMark/>
          </w:tcPr>
          <w:p w:rsidR="00D61AB6" w:rsidRPr="00785C0C" w:rsidRDefault="00D61AB6" w:rsidP="00D12398">
            <w:pPr>
              <w:spacing w:after="0" w:line="240" w:lineRule="auto"/>
              <w:rPr>
                <w:bCs/>
                <w:sz w:val="12"/>
                <w:szCs w:val="12"/>
                <w:vertAlign w:val="superscript"/>
                <w:lang w:val="en-US" w:eastAsia="nl-NL"/>
              </w:rPr>
            </w:pPr>
            <w:r w:rsidRPr="00785C0C">
              <w:rPr>
                <w:bCs/>
                <w:sz w:val="12"/>
                <w:szCs w:val="12"/>
                <w:lang w:val="en-US" w:eastAsia="nl-NL"/>
              </w:rPr>
              <w:t>Diverse policies</w:t>
            </w:r>
          </w:p>
        </w:tc>
        <w:tc>
          <w:tcPr>
            <w:tcW w:w="1754" w:type="dxa"/>
            <w:hideMark/>
          </w:tcPr>
          <w:p w:rsidR="00D61AB6" w:rsidRPr="00416F1D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785C0C">
              <w:rPr>
                <w:bCs/>
                <w:sz w:val="12"/>
                <w:szCs w:val="12"/>
                <w:lang w:val="en-US" w:eastAsia="nl-NL"/>
              </w:rPr>
              <w:t xml:space="preserve">Various policy instruments stimulate different mechanisms that improve different </w:t>
            </w:r>
            <w:r w:rsidRPr="00FD74E9">
              <w:rPr>
                <w:bCs/>
                <w:sz w:val="12"/>
                <w:szCs w:val="12"/>
                <w:lang w:val="en-US" w:eastAsia="nl-NL"/>
              </w:rPr>
              <w:t>resilience capacities.</w:t>
            </w:r>
          </w:p>
        </w:tc>
        <w:tc>
          <w:tcPr>
            <w:tcW w:w="2240" w:type="dxa"/>
            <w:vAlign w:val="bottom"/>
            <w:hideMark/>
          </w:tcPr>
          <w:p w:rsidR="00D61AB6" w:rsidRPr="00D22A71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416F1D">
              <w:rPr>
                <w:bCs/>
                <w:sz w:val="12"/>
                <w:szCs w:val="12"/>
                <w:lang w:val="en-US" w:eastAsia="nl-NL"/>
              </w:rPr>
              <w:t>Policies addressing all three resilience capacities avoid situations in which farming systems are permanently locked i</w:t>
            </w:r>
            <w:r w:rsidRPr="008C2809">
              <w:rPr>
                <w:bCs/>
                <w:sz w:val="12"/>
                <w:szCs w:val="12"/>
                <w:lang w:val="en-US" w:eastAsia="nl-NL"/>
              </w:rPr>
              <w:t>n a robust but unsustainable situation. Or situations in which adapting and transforming systems are increasingly v</w:t>
            </w:r>
            <w:r w:rsidRPr="00D22A71">
              <w:rPr>
                <w:bCs/>
                <w:sz w:val="12"/>
                <w:szCs w:val="12"/>
                <w:lang w:val="en-US" w:eastAsia="nl-NL"/>
              </w:rPr>
              <w:t>ulnerable</w:t>
            </w:r>
          </w:p>
        </w:tc>
        <w:tc>
          <w:tcPr>
            <w:tcW w:w="2343" w:type="dxa"/>
            <w:hideMark/>
          </w:tcPr>
          <w:p w:rsidR="00D61AB6" w:rsidRPr="008F586A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8C3723">
              <w:rPr>
                <w:bCs/>
                <w:sz w:val="12"/>
                <w:szCs w:val="12"/>
                <w:lang w:val="en-US" w:eastAsia="nl-NL"/>
              </w:rPr>
              <w:t>Policies stimulate all three capacities of resilience, i.e. robustness, adaptability, transformab</w:t>
            </w:r>
            <w:r w:rsidRPr="00FB39A3">
              <w:rPr>
                <w:bCs/>
                <w:sz w:val="12"/>
                <w:szCs w:val="12"/>
                <w:lang w:val="en-US" w:eastAsia="nl-NL"/>
              </w:rPr>
              <w:t>ility</w:t>
            </w:r>
          </w:p>
        </w:tc>
        <w:tc>
          <w:tcPr>
            <w:tcW w:w="1134" w:type="dxa"/>
          </w:tcPr>
          <w:p w:rsidR="00D61AB6" w:rsidRPr="00CF0D36" w:rsidRDefault="00D61AB6" w:rsidP="00D12398">
            <w:pPr>
              <w:spacing w:after="0" w:line="240" w:lineRule="auto"/>
              <w:rPr>
                <w:bCs/>
                <w:sz w:val="12"/>
                <w:szCs w:val="12"/>
                <w:lang w:val="en-US" w:eastAsia="nl-NL"/>
              </w:rPr>
            </w:pPr>
            <w:r w:rsidRPr="00CF0D36">
              <w:rPr>
                <w:bCs/>
                <w:sz w:val="12"/>
                <w:szCs w:val="12"/>
                <w:lang w:val="en-US" w:eastAsia="nl-NL"/>
              </w:rPr>
              <w:t>Diversity</w:t>
            </w:r>
          </w:p>
        </w:tc>
      </w:tr>
    </w:tbl>
    <w:p w:rsidR="00D61AB6" w:rsidRDefault="00D61AB6">
      <w:bookmarkStart w:id="0" w:name="_GoBack"/>
      <w:bookmarkEnd w:id="0"/>
    </w:p>
    <w:sectPr w:rsidR="00D6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B6"/>
    <w:rsid w:val="00D6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6930A-AB05-409E-B44A-1BBC25B0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B6"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Caption">
    <w:name w:val="caption"/>
    <w:basedOn w:val="Normal"/>
    <w:next w:val="Normal"/>
    <w:uiPriority w:val="35"/>
    <w:unhideWhenUsed/>
    <w:qFormat/>
    <w:rsid w:val="00D61AB6"/>
    <w:pPr>
      <w:spacing w:after="200" w:line="240" w:lineRule="auto"/>
      <w:jc w:val="both"/>
    </w:pPr>
    <w:rPr>
      <w:rFonts w:ascii="Calibri Light" w:hAnsi="Calibri Light" w:cs="Calibri Light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Paas</dc:creator>
  <cp:keywords/>
  <dc:description/>
  <cp:lastModifiedBy>Wim Paas</cp:lastModifiedBy>
  <cp:revision>1</cp:revision>
  <dcterms:created xsi:type="dcterms:W3CDTF">2021-03-09T17:04:00Z</dcterms:created>
  <dcterms:modified xsi:type="dcterms:W3CDTF">2021-03-09T17:04:00Z</dcterms:modified>
</cp:coreProperties>
</file>