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50" w:rsidRPr="00CC115E" w:rsidRDefault="003A7850" w:rsidP="003A7850">
      <w:pPr>
        <w:pStyle w:val="Formatvorlageberschrift2KomplexTimesNewRomanKomplex12pt"/>
      </w:pPr>
      <w:bookmarkStart w:id="0" w:name="_Toc532796137"/>
      <w:bookmarkStart w:id="1" w:name="_GoBack"/>
      <w:bookmarkEnd w:id="1"/>
      <w:r w:rsidRPr="00CC115E">
        <w:t>Supporting information</w:t>
      </w:r>
    </w:p>
    <w:p w:rsidR="003A7850" w:rsidRPr="00CC115E" w:rsidRDefault="003A7850" w:rsidP="003A7850">
      <w:pPr>
        <w:pStyle w:val="Formatvorlageberschrift2KomplexTimesNewRomanKomplex12pt"/>
      </w:pPr>
    </w:p>
    <w:p w:rsidR="003A7850" w:rsidRPr="00CC115E" w:rsidRDefault="003A7850" w:rsidP="003A7850">
      <w:pPr>
        <w:pStyle w:val="Formatvorlageberschrift2KomplexTimesNewRomanKomplex12pt"/>
      </w:pPr>
      <w:r w:rsidRPr="00CC115E">
        <w:t>Modelling rural return behaviour</w:t>
      </w:r>
      <w:bookmarkEnd w:id="0"/>
    </w:p>
    <w:p w:rsidR="003A7850" w:rsidRPr="00CC115E" w:rsidRDefault="003A7850" w:rsidP="003A7850">
      <w:pPr>
        <w:rPr>
          <w:rFonts w:eastAsia="SimSun" w:cs="Arial"/>
          <w:iCs/>
          <w:color w:val="00000A"/>
          <w:kern w:val="3"/>
          <w:lang w:eastAsia="zh-CN" w:bidi="hi-IN"/>
        </w:rPr>
      </w:pPr>
      <w:r w:rsidRPr="00CC115E">
        <w:rPr>
          <w:rFonts w:eastAsia="Times New Roman" w:cs="Arial"/>
          <w:lang w:val="en-US" w:eastAsia="de-DE"/>
        </w:rPr>
        <w:t xml:space="preserve">Research on (internal) migrants usually applies utilitarian rational choice models </w:t>
      </w:r>
      <w:r w:rsidRPr="00CC115E">
        <w:rPr>
          <w:rFonts w:eastAsia="Times New Roman" w:cs="Arial"/>
          <w:lang w:val="en-US" w:eastAsia="de-DE"/>
        </w:rPr>
        <w:fldChar w:fldCharType="begin"/>
      </w:r>
      <w:r w:rsidRPr="00CC115E">
        <w:rPr>
          <w:rFonts w:eastAsia="Times New Roman" w:cs="Arial"/>
          <w:lang w:val="en-US" w:eastAsia="de-DE"/>
        </w:rPr>
        <w:instrText xml:space="preserve"> ADDIN EN.CITE &lt;EndNote&gt;&lt;Cite&gt;&lt;Author&gt;Czaika&lt;/Author&gt;&lt;Year&gt;2015&lt;/Year&gt;&lt;RecNum&gt;2212&lt;/RecNum&gt;&lt;Suffix&gt;: 2&lt;/Suffix&gt;&lt;DisplayText&gt;(Czaika, 2015: 2; Kalter, 1997: 41)&lt;/DisplayText&gt;&lt;record&gt;&lt;rec-number&gt;2212&lt;/rec-number&gt;&lt;foreign-keys&gt;&lt;key app="EN" db-id="2dxvfpd9a9fdpaepptwxvz2e92x9afeatrtv" timestamp="1440157539"&gt;2212&lt;/key&gt;&lt;/foreign-keys&gt;&lt;ref-type name="Journal Article"&gt;17&lt;/ref-type&gt;&lt;contributors&gt;&lt;authors&gt;&lt;author&gt;Czaika, Mathias&lt;/author&gt;&lt;/authors&gt;&lt;/contributors&gt;&lt;titles&gt;&lt;title&gt;Migration and economic prospects&lt;/title&gt;&lt;secondary-title&gt;Journal of Ethnic and Migration Studies&lt;/secondary-title&gt;&lt;/titles&gt;&lt;periodical&gt;&lt;full-title&gt;Journal of Ethnic and Migration Studies&lt;/full-title&gt;&lt;/periodical&gt;&lt;pages&gt;58-82&lt;/pages&gt;&lt;volume&gt;41&lt;/volume&gt;&lt;number&gt;1&lt;/number&gt;&lt;reprint-edition&gt;Not in File&lt;/reprint-edition&gt;&lt;keywords&gt;&lt;keyword&gt;migration&lt;/keyword&gt;&lt;/keywords&gt;&lt;dates&gt;&lt;year&gt;2015&lt;/year&gt;&lt;pub-dates&gt;&lt;date&gt;2014&lt;/date&gt;&lt;/pub-dates&gt;&lt;/dates&gt;&lt;isbn&gt;1369-183X&lt;/isbn&gt;&lt;label&gt;106&lt;/label&gt;&lt;urls&gt;&lt;/urls&gt;&lt;/record&gt;&lt;/Cite&gt;&lt;Cite&gt;&lt;Author&gt;Kalter&lt;/Author&gt;&lt;Year&gt;1997&lt;/Year&gt;&lt;RecNum&gt;3704&lt;/RecNum&gt;&lt;Suffix&gt;: 41&lt;/Suffix&gt;&lt;record&gt;&lt;rec-number&gt;3704&lt;/rec-number&gt;&lt;foreign-keys&gt;&lt;key app="EN" db-id="2dxvfpd9a9fdpaepptwxvz2e92x9afeatrtv" timestamp="1483956466"&gt;3704&lt;/key&gt;&lt;/foreign-keys&gt;&lt;ref-type name="Book"&gt;6&lt;/ref-type&gt;&lt;contributors&gt;&lt;authors&gt;&lt;author&gt;Kalter, Frank&lt;/author&gt;&lt;/authors&gt;&lt;/contributors&gt;&lt;titles&gt;&lt;title&gt;Wohnortwechsel in Deutschland&lt;/title&gt;&lt;/titles&gt;&lt;dates&gt;&lt;year&gt;1997&lt;/year&gt;&lt;/dates&gt;&lt;pub-location&gt;Opladen, Germany&lt;/pub-location&gt;&lt;publisher&gt;Springer&lt;/publisher&gt;&lt;isbn&gt;3663118878&lt;/isbn&gt;&lt;label&gt;235&lt;/label&gt;&lt;urls&gt;&lt;/urls&gt;&lt;/record&gt;&lt;/Cite&gt;&lt;/EndNote&gt;</w:instrText>
      </w:r>
      <w:r w:rsidRPr="00CC115E">
        <w:rPr>
          <w:rFonts w:eastAsia="Times New Roman" w:cs="Arial"/>
          <w:lang w:val="en-US" w:eastAsia="de-DE"/>
        </w:rPr>
        <w:fldChar w:fldCharType="separate"/>
      </w:r>
      <w:r w:rsidRPr="00CC115E">
        <w:rPr>
          <w:rFonts w:eastAsia="Times New Roman" w:cs="Arial"/>
          <w:noProof/>
          <w:lang w:val="en-US" w:eastAsia="de-DE"/>
        </w:rPr>
        <w:t>(Czaika, 2015: 2; Kalter, 1997: 41)</w:t>
      </w:r>
      <w:r w:rsidRPr="00CC115E">
        <w:rPr>
          <w:rFonts w:eastAsia="Times New Roman" w:cs="Arial"/>
          <w:lang w:val="en-US" w:eastAsia="de-DE"/>
        </w:rPr>
        <w:fldChar w:fldCharType="end"/>
      </w:r>
      <w:r w:rsidRPr="00CC115E">
        <w:rPr>
          <w:rFonts w:eastAsia="Times New Roman" w:cs="Arial"/>
          <w:lang w:val="en-US" w:eastAsia="de-DE"/>
        </w:rPr>
        <w:t xml:space="preserve">. Sociological, psychological, and economic research increasingly </w:t>
      </w:r>
      <w:proofErr w:type="spellStart"/>
      <w:r w:rsidRPr="00CC115E">
        <w:rPr>
          <w:rFonts w:eastAsia="Times New Roman" w:cs="Arial"/>
          <w:lang w:val="en-US" w:eastAsia="de-DE"/>
        </w:rPr>
        <w:t>favour</w:t>
      </w:r>
      <w:proofErr w:type="spellEnd"/>
      <w:r w:rsidRPr="00CC115E">
        <w:rPr>
          <w:rFonts w:eastAsia="Times New Roman" w:cs="Arial"/>
          <w:lang w:val="en-US" w:eastAsia="de-DE"/>
        </w:rPr>
        <w:t xml:space="preserve"> so-called subjectively expected utility (SEU) models, which are based on the Expected Utility Theory. SEU models have several advantages.</w:t>
      </w:r>
      <w:r w:rsidRPr="00CC115E">
        <w:rPr>
          <w:rFonts w:eastAsia="SimSun" w:cs="Arial"/>
          <w:iCs/>
          <w:color w:val="00000A"/>
          <w:kern w:val="3"/>
          <w:vertAlign w:val="superscript"/>
          <w:lang w:val="en-US" w:eastAsia="zh-CN" w:bidi="hi-IN"/>
        </w:rPr>
        <w:footnoteReference w:id="1"/>
      </w:r>
      <w:r w:rsidRPr="00CC115E">
        <w:rPr>
          <w:rFonts w:eastAsia="SimSun" w:cs="Arial"/>
          <w:iCs/>
          <w:color w:val="00000A"/>
          <w:kern w:val="3"/>
          <w:lang w:val="en-US" w:eastAsia="zh-CN" w:bidi="hi-IN"/>
        </w:rPr>
        <w:t xml:space="preserve"> </w:t>
      </w:r>
      <w:r w:rsidRPr="00CC115E">
        <w:rPr>
          <w:rFonts w:eastAsia="Times New Roman" w:cs="Arial"/>
          <w:lang w:val="en-US" w:eastAsia="de-DE"/>
        </w:rPr>
        <w:t>For instance, they easily integrate utility as well as disutility considerations of economic and non-economic nature. Furthermore,</w:t>
      </w:r>
      <w:r w:rsidRPr="00CC115E">
        <w:rPr>
          <w:rFonts w:eastAsia="SimSun" w:cs="Arial"/>
          <w:iCs/>
          <w:color w:val="00000A"/>
          <w:kern w:val="3"/>
          <w:lang w:val="en-US" w:eastAsia="zh-CN" w:bidi="hi-IN"/>
        </w:rPr>
        <w:t xml:space="preserve"> it is possible to not treat return migrants as a homogenous group of people (assumption is dropped), but focus on differences in, for instance, their economic and non-economic motivations (</w:t>
      </w:r>
      <w:r w:rsidRPr="00CC115E">
        <w:rPr>
          <w:rFonts w:eastAsia="SimSun" w:cs="Arial"/>
          <w:iCs/>
          <w:color w:val="00000A"/>
          <w:kern w:val="3"/>
          <w:lang w:val="en-US" w:eastAsia="zh-CN" w:bidi="hi-IN"/>
        </w:rPr>
        <w:fldChar w:fldCharType="begin"/>
      </w:r>
      <w:r w:rsidRPr="00CC115E">
        <w:rPr>
          <w:rFonts w:eastAsia="SimSun" w:cs="Arial"/>
          <w:iCs/>
          <w:color w:val="00000A"/>
          <w:kern w:val="3"/>
          <w:lang w:val="en-US" w:eastAsia="zh-CN" w:bidi="hi-IN"/>
        </w:rPr>
        <w:instrText xml:space="preserve"> ADDIN EN.CITE &lt;EndNote&gt;&lt;Cite AuthorYear="1"&gt;&lt;Author&gt;Stark&lt;/Author&gt;&lt;Year&gt;1985&lt;/Year&gt;&lt;RecNum&gt;1614&lt;/RecNum&gt;&lt;Prefix&gt;see e.g. &lt;/Prefix&gt;&lt;Suffix&gt;: 174&lt;/Suffix&gt;&lt;DisplayText&gt;see e.g. Stark and Bloom (1985: 174)&lt;/DisplayText&gt;&lt;record&gt;&lt;rec-number&gt;1614&lt;/rec-number&gt;&lt;foreign-keys&gt;&lt;key app="EN" db-id="2dxvfpd9a9fdpaepptwxvz2e92x9afeatrtv" timestamp="1440156168"&gt;1614&lt;/key&gt;&lt;/foreign-keys&gt;&lt;ref-type name="Journal Article"&gt;17&lt;/ref-type&gt;&lt;contributors&gt;&lt;authors&gt;&lt;author&gt;Stark, Oded&lt;/author&gt;&lt;author&gt;Bloom, David E.&lt;/author&gt;&lt;/authors&gt;&lt;/contributors&gt;&lt;titles&gt;&lt;title&gt;The new economics of labor migration&lt;/title&gt;&lt;secondary-title&gt;The American Economic Review&lt;/secondary-title&gt;&lt;/titles&gt;&lt;periodical&gt;&lt;full-title&gt;The American Economic Review&lt;/full-title&gt;&lt;/periodical&gt;&lt;pages&gt;173-178&lt;/pages&gt;&lt;volume&gt;75&lt;/volume&gt;&lt;number&gt;2&lt;/number&gt;&lt;reprint-edition&gt;Not in File&lt;/reprint-edition&gt;&lt;keywords&gt;&lt;keyword&gt;migration&lt;/keyword&gt;&lt;/keywords&gt;&lt;dates&gt;&lt;year&gt;1985&lt;/year&gt;&lt;pub-dates&gt;&lt;date&gt;1985&lt;/date&gt;&lt;/pub-dates&gt;&lt;/dates&gt;&lt;isbn&gt;0002-8282&lt;/isbn&gt;&lt;label&gt;103&lt;/label&gt;&lt;urls&gt;&lt;/urls&gt;&lt;/record&gt;&lt;/Cite&gt;&lt;/EndNote&gt;</w:instrText>
      </w:r>
      <w:r w:rsidRPr="00CC115E">
        <w:rPr>
          <w:rFonts w:eastAsia="SimSun" w:cs="Arial"/>
          <w:iCs/>
          <w:color w:val="00000A"/>
          <w:kern w:val="3"/>
          <w:lang w:val="en-US" w:eastAsia="zh-CN" w:bidi="hi-IN"/>
        </w:rPr>
        <w:fldChar w:fldCharType="separate"/>
      </w:r>
      <w:r w:rsidRPr="00CC115E">
        <w:rPr>
          <w:rFonts w:eastAsia="SimSun" w:cs="Arial"/>
          <w:iCs/>
          <w:noProof/>
          <w:color w:val="00000A"/>
          <w:kern w:val="3"/>
          <w:lang w:val="en-US" w:eastAsia="zh-CN" w:bidi="hi-IN"/>
        </w:rPr>
        <w:t>see e.g. Stark and Bloom (1985: 174)</w:t>
      </w:r>
      <w:r w:rsidRPr="00CC115E">
        <w:rPr>
          <w:rFonts w:eastAsia="SimSun" w:cs="Arial"/>
          <w:iCs/>
          <w:color w:val="00000A"/>
          <w:kern w:val="3"/>
          <w:lang w:val="en-US" w:eastAsia="zh-CN" w:bidi="hi-IN"/>
        </w:rPr>
        <w:fldChar w:fldCharType="end"/>
      </w:r>
      <w:r w:rsidRPr="00CC115E">
        <w:rPr>
          <w:rFonts w:eastAsia="SimSun" w:cs="Arial"/>
          <w:iCs/>
          <w:color w:val="00000A"/>
          <w:kern w:val="3"/>
          <w:lang w:val="en-US" w:eastAsia="zh-CN" w:bidi="hi-IN"/>
        </w:rPr>
        <w:t xml:space="preserve"> or </w:t>
      </w:r>
      <w:r w:rsidRPr="00CC115E">
        <w:rPr>
          <w:rFonts w:eastAsia="SimSun" w:cs="Arial"/>
          <w:iCs/>
          <w:color w:val="00000A"/>
          <w:kern w:val="3"/>
          <w:lang w:val="en-US" w:eastAsia="zh-CN" w:bidi="hi-IN"/>
        </w:rPr>
        <w:fldChar w:fldCharType="begin"/>
      </w:r>
      <w:r w:rsidRPr="00CC115E">
        <w:rPr>
          <w:rFonts w:eastAsia="SimSun" w:cs="Arial"/>
          <w:iCs/>
          <w:color w:val="00000A"/>
          <w:kern w:val="3"/>
          <w:lang w:val="en-US" w:eastAsia="zh-CN" w:bidi="hi-IN"/>
        </w:rPr>
        <w:instrText xml:space="preserve"> ADDIN EN.CITE &lt;EndNote&gt;&lt;Cite AuthorYear="1"&gt;&lt;Author&gt;Dustmann&lt;/Author&gt;&lt;Year&gt;2016&lt;/Year&gt;&lt;RecNum&gt;3598&lt;/RecNum&gt;&lt;Suffix&gt;: 102&lt;/Suffix&gt;&lt;DisplayText&gt;Dustmann and Görlach (2016: 102)&lt;/DisplayText&gt;&lt;record&gt;&lt;rec-number&gt;3598&lt;/rec-number&gt;&lt;foreign-keys&gt;&lt;key app="EN" db-id="2dxvfpd9a9fdpaepptwxvz2e92x9afeatrtv" timestamp="1478011257"&gt;3598&lt;/key&gt;&lt;/foreign-keys&gt;&lt;ref-type name="Journal Article"&gt;17&lt;/ref-type&gt;&lt;contributors&gt;&lt;authors&gt;&lt;author&gt;Dustmann, Christian&lt;/author&gt;&lt;author&gt;Görlach, Joseph-Simon&lt;/author&gt;&lt;/authors&gt;&lt;/contributors&gt;&lt;titles&gt;&lt;title&gt;The economics of temporary migrations&lt;/title&gt;&lt;secondary-title&gt;Journal of Economic Literature&lt;/secondary-title&gt;&lt;/titles&gt;&lt;periodical&gt;&lt;full-title&gt;Journal of Economic Literature&lt;/full-title&gt;&lt;/periodical&gt;&lt;pages&gt;98-136&lt;/pages&gt;&lt;volume&gt;54&lt;/volume&gt;&lt;number&gt;1&lt;/number&gt;&lt;dates&gt;&lt;year&gt;2016&lt;/year&gt;&lt;/dates&gt;&lt;isbn&gt;0022-0515&lt;/isbn&gt;&lt;label&gt;261&lt;/label&gt;&lt;urls&gt;&lt;/urls&gt;&lt;/record&gt;&lt;/Cite&gt;&lt;/EndNote&gt;</w:instrText>
      </w:r>
      <w:r w:rsidRPr="00CC115E">
        <w:rPr>
          <w:rFonts w:eastAsia="SimSun" w:cs="Arial"/>
          <w:iCs/>
          <w:color w:val="00000A"/>
          <w:kern w:val="3"/>
          <w:lang w:val="en-US" w:eastAsia="zh-CN" w:bidi="hi-IN"/>
        </w:rPr>
        <w:fldChar w:fldCharType="separate"/>
      </w:r>
      <w:r w:rsidRPr="00CC115E">
        <w:rPr>
          <w:rFonts w:eastAsia="SimSun" w:cs="Arial"/>
          <w:iCs/>
          <w:noProof/>
          <w:color w:val="00000A"/>
          <w:kern w:val="3"/>
          <w:lang w:val="en-US" w:eastAsia="zh-CN" w:bidi="hi-IN"/>
        </w:rPr>
        <w:t>Dustmann and Görlach (2016: 102)</w:t>
      </w:r>
      <w:r w:rsidRPr="00CC115E">
        <w:rPr>
          <w:rFonts w:eastAsia="SimSun" w:cs="Arial"/>
          <w:iCs/>
          <w:color w:val="00000A"/>
          <w:kern w:val="3"/>
          <w:lang w:val="en-US" w:eastAsia="zh-CN" w:bidi="hi-IN"/>
        </w:rPr>
        <w:fldChar w:fldCharType="end"/>
      </w:r>
      <w:r w:rsidRPr="00CC115E">
        <w:rPr>
          <w:rFonts w:eastAsia="SimSun" w:cs="Arial"/>
          <w:iCs/>
          <w:color w:val="00000A"/>
          <w:kern w:val="3"/>
          <w:lang w:val="en-US" w:eastAsia="zh-CN" w:bidi="hi-IN"/>
        </w:rPr>
        <w:t>).</w:t>
      </w:r>
      <w:r w:rsidRPr="00CC115E">
        <w:rPr>
          <w:rFonts w:eastAsia="SimSun" w:cs="Arial"/>
          <w:iCs/>
          <w:color w:val="00000A"/>
          <w:kern w:val="3"/>
          <w:vertAlign w:val="superscript"/>
          <w:lang w:val="en-US" w:eastAsia="zh-CN" w:bidi="hi-IN"/>
        </w:rPr>
        <w:footnoteReference w:id="2"/>
      </w:r>
      <w:r w:rsidRPr="00CC115E">
        <w:rPr>
          <w:rFonts w:eastAsia="SimSun" w:cs="Arial"/>
          <w:iCs/>
          <w:color w:val="00000A"/>
          <w:kern w:val="3"/>
          <w:lang w:val="en-US" w:eastAsia="zh-CN" w:bidi="hi-IN"/>
        </w:rPr>
        <w:t xml:space="preserve"> </w:t>
      </w:r>
      <w:r w:rsidRPr="00CC115E">
        <w:rPr>
          <w:rFonts w:eastAsia="SimSun" w:cs="Arial"/>
          <w:color w:val="00000A"/>
          <w:kern w:val="3"/>
          <w:lang w:val="en-US" w:eastAsia="zh-CN" w:bidi="hi-IN"/>
        </w:rPr>
        <w:t xml:space="preserve">In line with the method of decreasing abstraction </w:t>
      </w:r>
      <w:r w:rsidRPr="00CC115E">
        <w:rPr>
          <w:rFonts w:eastAsia="SimSun" w:cs="Arial"/>
          <w:color w:val="00000A"/>
          <w:kern w:val="3"/>
          <w:lang w:val="en-US" w:eastAsia="zh-CN" w:bidi="hi-IN"/>
        </w:rPr>
        <w:fldChar w:fldCharType="begin"/>
      </w:r>
      <w:r w:rsidRPr="00CC115E">
        <w:rPr>
          <w:rFonts w:eastAsia="SimSun" w:cs="Arial"/>
          <w:color w:val="00000A"/>
          <w:kern w:val="3"/>
          <w:lang w:val="en-US" w:eastAsia="zh-CN" w:bidi="hi-IN"/>
        </w:rPr>
        <w:instrText xml:space="preserve"> ADDIN EN.CITE &lt;EndNote&gt;&lt;Cite&gt;&lt;Author&gt;Lindenberg&lt;/Author&gt;&lt;Year&gt;1985&lt;/Year&gt;&lt;RecNum&gt;3735&lt;/RecNum&gt;&lt;Suffix&gt;: 108&lt;/Suffix&gt;&lt;DisplayText&gt;(Lindenberg, 1985: 108)&lt;/DisplayText&gt;&lt;record&gt;&lt;rec-number&gt;3735&lt;/rec-number&gt;&lt;foreign-keys&gt;&lt;key app="EN" db-id="2dxvfpd9a9fdpaepptwxvz2e92x9afeatrtv" timestamp="1487256456"&gt;3735&lt;/key&gt;&lt;/foreign-keys&gt;&lt;ref-type name="Journal Article"&gt;17&lt;/ref-type&gt;&lt;contributors&gt;&lt;authors&gt;&lt;author&gt;Lindenberg, Siegwart&lt;/author&gt;&lt;/authors&gt;&lt;/contributors&gt;&lt;titles&gt;&lt;title&gt;An assessment of the new political economy: Its potential for the social sciences and for sociology in particular&lt;/title&gt;&lt;secondary-title&gt;Sociological Theory&lt;/secondary-title&gt;&lt;/titles&gt;&lt;periodical&gt;&lt;full-title&gt;Sociological Theory&lt;/full-title&gt;&lt;/periodical&gt;&lt;pages&gt;99-114&lt;/pages&gt;&lt;volume&gt;3&lt;/volume&gt;&lt;number&gt;1&lt;/number&gt;&lt;dates&gt;&lt;year&gt;1985&lt;/year&gt;&lt;/dates&gt;&lt;isbn&gt;0735-2751&lt;/isbn&gt;&lt;label&gt;252&lt;/label&gt;&lt;urls&gt;&lt;/urls&gt;&lt;/record&gt;&lt;/Cite&gt;&lt;/EndNote&gt;</w:instrText>
      </w:r>
      <w:r w:rsidRPr="00CC115E">
        <w:rPr>
          <w:rFonts w:eastAsia="SimSun" w:cs="Arial"/>
          <w:color w:val="00000A"/>
          <w:kern w:val="3"/>
          <w:lang w:val="en-US" w:eastAsia="zh-CN" w:bidi="hi-IN"/>
        </w:rPr>
        <w:fldChar w:fldCharType="separate"/>
      </w:r>
      <w:r w:rsidRPr="00CC115E">
        <w:rPr>
          <w:rFonts w:eastAsia="SimSun" w:cs="Arial"/>
          <w:noProof/>
          <w:color w:val="00000A"/>
          <w:kern w:val="3"/>
          <w:lang w:val="en-US" w:eastAsia="zh-CN" w:bidi="hi-IN"/>
        </w:rPr>
        <w:t>(Lindenberg, 1985: 108)</w:t>
      </w:r>
      <w:r w:rsidRPr="00CC115E">
        <w:rPr>
          <w:rFonts w:eastAsia="SimSun" w:cs="Arial"/>
          <w:color w:val="00000A"/>
          <w:kern w:val="3"/>
          <w:lang w:val="en-US" w:eastAsia="zh-CN" w:bidi="hi-IN"/>
        </w:rPr>
        <w:fldChar w:fldCharType="end"/>
      </w:r>
      <w:r w:rsidRPr="00CC115E">
        <w:rPr>
          <w:rFonts w:eastAsia="SimSun" w:cs="Arial"/>
          <w:color w:val="00000A"/>
          <w:kern w:val="3"/>
          <w:lang w:val="en-US" w:eastAsia="zh-CN" w:bidi="hi-IN"/>
        </w:rPr>
        <w:t>, we assume that t</w:t>
      </w:r>
      <w:r w:rsidRPr="00CC115E">
        <w:rPr>
          <w:rFonts w:eastAsia="SimSun" w:cs="Arial"/>
          <w:iCs/>
          <w:color w:val="00000A"/>
          <w:kern w:val="3"/>
          <w:lang w:val="en-US" w:eastAsia="zh-CN" w:bidi="hi-IN"/>
        </w:rPr>
        <w:t>he individual, i.e., the student, accommodates his/her bounded rationality</w:t>
      </w:r>
      <w:bookmarkStart w:id="2" w:name="_Ref531969236"/>
      <w:r w:rsidRPr="00CC115E">
        <w:rPr>
          <w:rStyle w:val="Funotenzeichen"/>
          <w:rFonts w:eastAsia="SimSun" w:cs="Arial"/>
          <w:iCs/>
          <w:color w:val="00000A"/>
          <w:kern w:val="3"/>
          <w:lang w:val="en-US" w:eastAsia="zh-CN" w:bidi="hi-IN"/>
        </w:rPr>
        <w:footnoteReference w:id="3"/>
      </w:r>
      <w:bookmarkEnd w:id="2"/>
      <w:r w:rsidRPr="00CC115E">
        <w:rPr>
          <w:rFonts w:eastAsia="SimSun" w:cs="Arial"/>
          <w:iCs/>
          <w:color w:val="00000A"/>
          <w:kern w:val="3"/>
          <w:lang w:val="en-US" w:eastAsia="zh-CN" w:bidi="hi-IN"/>
        </w:rPr>
        <w:t xml:space="preserve"> in our (return) migration model by a stepwise decision process. The student compares his/her expected future returns at the current residence with those arising when executing the rural return option and weighs the future returns with respect to his/her individual time horizon. Subsequently, the effects of intended rural return on the student’s utility or disutility do not materialize immediately but accumulate over time. Thus, the student compares the value of his/her individually weighed and discounted expected present value at the rural return location with the corresponding present value at the present location. The corresponding net present value (NPV) would determine the (rural return) migration decision from the point of view of a SEU behavioral model. A more formal version of the described (rural return) migration-decision problem may be summarized and described as follows (see e.g. </w:t>
      </w:r>
      <w:r w:rsidRPr="00CC115E">
        <w:rPr>
          <w:rFonts w:eastAsia="SimSun" w:cs="Arial"/>
          <w:iCs/>
          <w:color w:val="00000A"/>
          <w:kern w:val="3"/>
          <w:lang w:val="en-US" w:eastAsia="zh-CN" w:bidi="hi-IN"/>
        </w:rPr>
        <w:fldChar w:fldCharType="begin"/>
      </w:r>
      <w:r w:rsidR="00CC115E" w:rsidRPr="00CC115E">
        <w:rPr>
          <w:rFonts w:eastAsia="SimSun" w:cs="Arial"/>
          <w:iCs/>
          <w:color w:val="00000A"/>
          <w:kern w:val="3"/>
          <w:lang w:val="en-US" w:eastAsia="zh-CN" w:bidi="hi-IN"/>
        </w:rPr>
        <w:instrText xml:space="preserve"> ADDIN EN.CITE &lt;EndNote&gt;&lt;Cite AuthorYear="1"&gt;&lt;Author&gt;Fischer&lt;/Author&gt;&lt;Year&gt;1997&lt;/Year&gt;&lt;RecNum&gt;1505&lt;/RecNum&gt;&lt;Suffix&gt;: 60ff&lt;/Suffix&gt;&lt;DisplayText&gt;Fischer et al. (1997: 60ff)&lt;/DisplayText&gt;&lt;record&gt;&lt;rec-number&gt;1505&lt;/rec-number&gt;&lt;foreign-keys&gt;&lt;key app="EN" db-id="2dxvfpd9a9fdpaepptwxvz2e92x9afeatrtv" timestamp="1440156165"&gt;1505&lt;/key&gt;&lt;/foreign-keys&gt;&lt;ref-type name="Book Section"&gt;5&lt;/ref-type&gt;&lt;contributors&gt;&lt;authors&gt;&lt;author&gt;Fischer, Peter A.&lt;/author&gt;&lt;author&gt;Martin, Reiner&lt;/author&gt;&lt;author&gt;Straubhaar, Thomas&lt;/author&gt;&lt;/authors&gt;&lt;secondary-authors&gt;&lt;author&gt;Hamar, Tomas&lt;/author&gt;&lt;author&gt;Brochmann, Grete&lt;/author&gt;&lt;author&gt;Tamas, Kristof&lt;/author&gt;&lt;author&gt;Faist, Thomas&lt;/author&gt;&lt;/secondary-authors&gt;&lt;/contributors&gt;&lt;titles&gt;&lt;title&gt;Should I stay or should I go&lt;/title&gt;&lt;secondary-title&gt;International migration, immobility and development&lt;/secondary-title&gt;&lt;/titles&gt;&lt;pages&gt;49-90&lt;/pages&gt;&lt;keywords&gt;&lt;keyword&gt;migration&lt;/keyword&gt;&lt;/keywords&gt;&lt;dates&gt;&lt;year&gt;1997&lt;/year&gt;&lt;pub-dates&gt;&lt;date&gt;1997&lt;/date&gt;&lt;/pub-dates&gt;&lt;/dates&gt;&lt;pub-location&gt;New York, USA&lt;/pub-location&gt;&lt;publisher&gt;Oxford&lt;/publisher&gt;&lt;label&gt;84&lt;/label&gt;&lt;urls&gt;&lt;/urls&gt;&lt;/record&gt;&lt;/Cite&gt;&lt;/EndNote&gt;</w:instrText>
      </w:r>
      <w:r w:rsidRPr="00CC115E">
        <w:rPr>
          <w:rFonts w:eastAsia="SimSun" w:cs="Arial"/>
          <w:iCs/>
          <w:color w:val="00000A"/>
          <w:kern w:val="3"/>
          <w:lang w:val="en-US" w:eastAsia="zh-CN" w:bidi="hi-IN"/>
        </w:rPr>
        <w:fldChar w:fldCharType="separate"/>
      </w:r>
      <w:r w:rsidRPr="00CC115E">
        <w:rPr>
          <w:rFonts w:eastAsia="SimSun" w:cs="Arial"/>
          <w:iCs/>
          <w:noProof/>
          <w:color w:val="00000A"/>
          <w:kern w:val="3"/>
          <w:lang w:eastAsia="zh-CN" w:bidi="hi-IN"/>
        </w:rPr>
        <w:t>Fischer et al. (1997: 60ff)</w:t>
      </w:r>
      <w:r w:rsidRPr="00CC115E">
        <w:rPr>
          <w:rFonts w:eastAsia="SimSun" w:cs="Arial"/>
          <w:iCs/>
          <w:color w:val="00000A"/>
          <w:kern w:val="3"/>
          <w:lang w:val="en-US" w:eastAsia="zh-CN" w:bidi="hi-IN"/>
        </w:rPr>
        <w:fldChar w:fldCharType="end"/>
      </w:r>
      <w:r w:rsidRPr="00CC115E">
        <w:rPr>
          <w:rFonts w:eastAsia="SimSun" w:cs="Arial"/>
          <w:iCs/>
          <w:color w:val="00000A"/>
          <w:kern w:val="3"/>
          <w:lang w:eastAsia="zh-CN" w:bidi="hi-IN"/>
        </w:rPr>
        <w:t>):</w:t>
      </w:r>
    </w:p>
    <w:p w:rsidR="003A7850" w:rsidRPr="00CC115E" w:rsidRDefault="008016C9" w:rsidP="003A7850">
      <w:pPr>
        <w:tabs>
          <w:tab w:val="right" w:pos="8931"/>
        </w:tabs>
        <w:rPr>
          <w:rFonts w:eastAsia="Times New Roman" w:cs="Arial"/>
          <w:iCs/>
          <w:sz w:val="20"/>
          <w:szCs w:val="20"/>
          <w:lang w:eastAsia="de-DE"/>
        </w:rPr>
      </w:pPr>
      <m:oMath>
        <m:func>
          <m:funcPr>
            <m:ctrlPr>
              <w:rPr>
                <w:rFonts w:ascii="Cambria Math" w:eastAsia="Times New Roman" w:hAnsi="Cambria Math" w:cs="Arial"/>
                <w:i/>
                <w:sz w:val="20"/>
                <w:szCs w:val="20"/>
                <w:lang w:val="en-US"/>
              </w:rPr>
            </m:ctrlPr>
          </m:funcPr>
          <m:fName>
            <m:r>
              <m:rPr>
                <m:sty m:val="p"/>
              </m:rPr>
              <w:rPr>
                <w:rFonts w:ascii="Cambria Math" w:eastAsia="Times New Roman" w:hAnsi="Cambria Math" w:cs="Arial"/>
                <w:sz w:val="20"/>
                <w:szCs w:val="20"/>
              </w:rPr>
              <m:t>max</m:t>
            </m:r>
          </m:fName>
          <m:e>
            <m:r>
              <w:rPr>
                <w:rFonts w:ascii="Cambria Math" w:eastAsia="Times New Roman" w:hAnsi="Cambria Math" w:cs="Arial"/>
                <w:sz w:val="20"/>
                <w:szCs w:val="20"/>
                <w:lang w:val="en-US"/>
              </w:rPr>
              <m:t>NP</m:t>
            </m:r>
            <m:sSubSup>
              <m:sSubSupPr>
                <m:ctrlPr>
                  <w:rPr>
                    <w:rFonts w:ascii="Cambria Math" w:eastAsia="Times New Roman" w:hAnsi="Cambria Math" w:cs="Arial"/>
                    <w:i/>
                    <w:sz w:val="20"/>
                    <w:szCs w:val="20"/>
                    <w:lang w:val="en-US"/>
                  </w:rPr>
                </m:ctrlPr>
              </m:sSubSupPr>
              <m:e>
                <m:r>
                  <w:rPr>
                    <w:rFonts w:ascii="Cambria Math" w:eastAsia="Times New Roman" w:hAnsi="Cambria Math" w:cs="Arial"/>
                    <w:sz w:val="20"/>
                    <w:szCs w:val="20"/>
                    <w:lang w:val="en-US"/>
                  </w:rPr>
                  <m:t>V</m:t>
                </m:r>
              </m:e>
              <m:sub>
                <m:r>
                  <w:rPr>
                    <w:rFonts w:ascii="Cambria Math" w:eastAsia="Times New Roman" w:hAnsi="Cambria Math" w:cs="Arial"/>
                    <w:sz w:val="20"/>
                    <w:szCs w:val="20"/>
                  </w:rPr>
                  <m:t>(</m:t>
                </m:r>
                <m:sSub>
                  <m:sSubPr>
                    <m:ctrlPr>
                      <w:rPr>
                        <w:rFonts w:ascii="Cambria Math" w:eastAsia="Times New Roman" w:hAnsi="Cambria Math" w:cs="Arial"/>
                        <w:i/>
                        <w:sz w:val="20"/>
                        <w:szCs w:val="20"/>
                        <w:lang w:val="en-US"/>
                      </w:rPr>
                    </m:ctrlPr>
                  </m:sSubPr>
                  <m:e>
                    <m:r>
                      <w:rPr>
                        <w:rFonts w:ascii="Cambria Math" w:eastAsia="Times New Roman" w:hAnsi="Cambria Math" w:cs="Arial"/>
                        <w:sz w:val="20"/>
                        <w:szCs w:val="20"/>
                        <w:lang w:val="en-US"/>
                      </w:rPr>
                      <m:t>a</m:t>
                    </m:r>
                  </m:e>
                  <m:sub>
                    <m:r>
                      <w:rPr>
                        <w:rFonts w:ascii="Cambria Math" w:eastAsia="Times New Roman" w:hAnsi="Cambria Math" w:cs="Arial"/>
                        <w:sz w:val="20"/>
                        <w:szCs w:val="20"/>
                      </w:rPr>
                      <m:t>1</m:t>
                    </m:r>
                  </m:sub>
                </m:sSub>
                <m:r>
                  <w:rPr>
                    <w:rFonts w:ascii="Cambria Math" w:eastAsia="Times New Roman" w:hAnsi="Cambria Math" w:cs="Arial"/>
                    <w:sz w:val="20"/>
                    <w:szCs w:val="20"/>
                  </w:rPr>
                  <m:t>)</m:t>
                </m:r>
              </m:sub>
              <m:sup>
                <m:r>
                  <w:rPr>
                    <w:rFonts w:ascii="Cambria Math" w:eastAsia="Times New Roman" w:hAnsi="Cambria Math" w:cs="Arial"/>
                    <w:sz w:val="20"/>
                    <w:szCs w:val="20"/>
                    <w:lang w:val="en-US"/>
                  </w:rPr>
                  <m:t>j</m:t>
                </m:r>
                <m:r>
                  <w:rPr>
                    <w:rFonts w:ascii="Cambria Math" w:eastAsia="Times New Roman" w:hAnsi="Cambria Math" w:cs="Arial"/>
                    <w:sz w:val="20"/>
                    <w:szCs w:val="20"/>
                  </w:rPr>
                  <m:t>=0,1</m:t>
                </m:r>
              </m:sup>
            </m:sSubSup>
          </m:e>
        </m:func>
        <m:r>
          <w:rPr>
            <w:rFonts w:ascii="Cambria Math" w:eastAsia="Times New Roman" w:hAnsi="Cambria Math" w:cs="Arial"/>
            <w:sz w:val="20"/>
            <w:szCs w:val="20"/>
            <w:lang w:eastAsia="de-DE"/>
          </w:rPr>
          <m:t xml:space="preserve">= </m:t>
        </m:r>
        <m:nary>
          <m:naryPr>
            <m:chr m:val="∑"/>
            <m:limLoc m:val="undOvr"/>
            <m:ctrlPr>
              <w:rPr>
                <w:rFonts w:ascii="Cambria Math" w:eastAsia="Times New Roman" w:hAnsi="Cambria Math" w:cs="Arial"/>
                <w:i/>
                <w:sz w:val="20"/>
                <w:szCs w:val="20"/>
                <w:lang w:val="en-US"/>
              </w:rPr>
            </m:ctrlPr>
          </m:naryPr>
          <m:sub>
            <m:r>
              <w:rPr>
                <w:rFonts w:ascii="Cambria Math" w:eastAsia="Times New Roman" w:hAnsi="Cambria Math" w:cs="Arial"/>
                <w:sz w:val="20"/>
                <w:szCs w:val="20"/>
                <w:lang w:val="en-US" w:eastAsia="de-DE"/>
              </w:rPr>
              <m:t>t</m:t>
            </m:r>
            <m:r>
              <w:rPr>
                <w:rFonts w:ascii="Cambria Math" w:eastAsia="Times New Roman" w:hAnsi="Cambria Math" w:cs="Arial"/>
                <w:sz w:val="20"/>
                <w:szCs w:val="20"/>
                <w:lang w:eastAsia="de-DE"/>
              </w:rPr>
              <m:t>=0</m:t>
            </m:r>
          </m:sub>
          <m:sup>
            <m:r>
              <w:rPr>
                <w:rFonts w:ascii="Cambria Math" w:eastAsia="Times New Roman" w:hAnsi="Cambria Math" w:cs="Arial"/>
                <w:sz w:val="20"/>
                <w:szCs w:val="20"/>
                <w:lang w:val="en-US" w:eastAsia="de-DE"/>
              </w:rPr>
              <m:t>T</m:t>
            </m:r>
          </m:sup>
          <m:e>
            <m:d>
              <m:dPr>
                <m:begChr m:val="["/>
                <m:endChr m:val="]"/>
                <m:ctrlPr>
                  <w:rPr>
                    <w:rFonts w:ascii="Cambria Math" w:eastAsia="Times New Roman" w:hAnsi="Cambria Math" w:cs="Arial"/>
                    <w:i/>
                    <w:sz w:val="20"/>
                    <w:szCs w:val="20"/>
                    <w:lang w:val="en-US"/>
                  </w:rPr>
                </m:ctrlPr>
              </m:dPr>
              <m:e>
                <m:d>
                  <m:dPr>
                    <m:begChr m:val="["/>
                    <m:endChr m:val="]"/>
                    <m:ctrlPr>
                      <w:rPr>
                        <w:rFonts w:ascii="Cambria Math" w:eastAsia="Times New Roman" w:hAnsi="Cambria Math" w:cs="Arial"/>
                        <w:i/>
                        <w:sz w:val="20"/>
                        <w:szCs w:val="20"/>
                        <w:lang w:val="en-US"/>
                      </w:rPr>
                    </m:ctrlPr>
                  </m:dPr>
                  <m:e>
                    <m:f>
                      <m:fPr>
                        <m:ctrlPr>
                          <w:rPr>
                            <w:rFonts w:ascii="Cambria Math" w:eastAsia="Times New Roman" w:hAnsi="Cambria Math" w:cs="Arial"/>
                            <w:i/>
                            <w:sz w:val="20"/>
                            <w:szCs w:val="20"/>
                            <w:lang w:val="en-US"/>
                          </w:rPr>
                        </m:ctrlPr>
                      </m:fPr>
                      <m:num>
                        <m:r>
                          <w:rPr>
                            <w:rFonts w:ascii="Cambria Math" w:eastAsia="Times New Roman" w:hAnsi="Cambria Math" w:cs="Arial"/>
                            <w:sz w:val="20"/>
                            <w:szCs w:val="20"/>
                            <w:lang w:eastAsia="de-DE"/>
                          </w:rPr>
                          <m:t>1</m:t>
                        </m:r>
                      </m:num>
                      <m:den>
                        <m:sSup>
                          <m:sSupPr>
                            <m:ctrlPr>
                              <w:rPr>
                                <w:rFonts w:ascii="Cambria Math" w:eastAsia="Times New Roman" w:hAnsi="Cambria Math" w:cs="Arial"/>
                                <w:i/>
                                <w:sz w:val="20"/>
                                <w:szCs w:val="20"/>
                                <w:lang w:val="en-US"/>
                              </w:rPr>
                            </m:ctrlPr>
                          </m:sSupPr>
                          <m:e>
                            <m:r>
                              <w:rPr>
                                <w:rFonts w:ascii="Cambria Math" w:eastAsia="Times New Roman" w:hAnsi="Cambria Math" w:cs="Arial"/>
                                <w:sz w:val="20"/>
                                <w:szCs w:val="20"/>
                                <w:lang w:eastAsia="de-DE"/>
                              </w:rPr>
                              <m:t>(1+</m:t>
                            </m:r>
                            <m:r>
                              <w:rPr>
                                <w:rFonts w:ascii="Cambria Math" w:eastAsia="Times New Roman" w:hAnsi="Cambria Math" w:cs="Arial"/>
                                <w:sz w:val="20"/>
                                <w:szCs w:val="20"/>
                                <w:lang w:val="en-US" w:eastAsia="de-DE"/>
                              </w:rPr>
                              <m:t>σ</m:t>
                            </m:r>
                            <m:r>
                              <w:rPr>
                                <w:rFonts w:ascii="Cambria Math" w:eastAsia="Times New Roman" w:hAnsi="Cambria Math" w:cs="Arial"/>
                                <w:sz w:val="20"/>
                                <w:szCs w:val="20"/>
                                <w:lang w:eastAsia="de-DE"/>
                              </w:rPr>
                              <m:t>)</m:t>
                            </m:r>
                          </m:e>
                          <m:sup>
                            <m:r>
                              <w:rPr>
                                <w:rFonts w:ascii="Cambria Math" w:eastAsia="Times New Roman" w:hAnsi="Cambria Math" w:cs="Arial"/>
                                <w:sz w:val="20"/>
                                <w:szCs w:val="20"/>
                                <w:lang w:val="en-US" w:eastAsia="de-DE"/>
                              </w:rPr>
                              <m:t>t</m:t>
                            </m:r>
                          </m:sup>
                        </m:sSup>
                      </m:den>
                    </m:f>
                  </m:e>
                </m:d>
                <m:r>
                  <w:rPr>
                    <w:rFonts w:ascii="Cambria Math" w:eastAsia="Times New Roman" w:hAnsi="Cambria Math" w:cs="Arial"/>
                    <w:sz w:val="20"/>
                    <w:szCs w:val="20"/>
                  </w:rPr>
                  <m:t>×</m:t>
                </m:r>
                <m:d>
                  <m:dPr>
                    <m:begChr m:val="["/>
                    <m:endChr m:val="]"/>
                    <m:ctrlPr>
                      <w:rPr>
                        <w:rFonts w:ascii="Cambria Math" w:eastAsia="Times New Roman" w:hAnsi="Cambria Math" w:cs="Arial"/>
                        <w:i/>
                        <w:sz w:val="20"/>
                        <w:szCs w:val="20"/>
                        <w:lang w:val="en-US"/>
                      </w:rPr>
                    </m:ctrlPr>
                  </m:dPr>
                  <m:e>
                    <m:nary>
                      <m:naryPr>
                        <m:chr m:val="∑"/>
                        <m:limLoc m:val="undOvr"/>
                        <m:ctrlPr>
                          <w:rPr>
                            <w:rFonts w:ascii="Cambria Math" w:eastAsia="Times New Roman" w:hAnsi="Cambria Math" w:cs="Arial"/>
                            <w:i/>
                            <w:sz w:val="20"/>
                            <w:szCs w:val="20"/>
                            <w:lang w:val="en-US"/>
                          </w:rPr>
                        </m:ctrlPr>
                      </m:naryPr>
                      <m:sub>
                        <m:r>
                          <w:rPr>
                            <w:rFonts w:ascii="Cambria Math" w:eastAsia="Times New Roman" w:hAnsi="Cambria Math" w:cs="Arial"/>
                            <w:sz w:val="20"/>
                            <w:szCs w:val="20"/>
                            <w:lang w:val="en-US" w:eastAsia="de-DE"/>
                          </w:rPr>
                          <m:t>i</m:t>
                        </m:r>
                        <m:r>
                          <w:rPr>
                            <w:rFonts w:ascii="Cambria Math" w:eastAsia="Times New Roman" w:hAnsi="Cambria Math" w:cs="Arial"/>
                            <w:sz w:val="20"/>
                            <w:szCs w:val="20"/>
                            <w:lang w:eastAsia="de-DE"/>
                          </w:rPr>
                          <m:t>=0</m:t>
                        </m:r>
                      </m:sub>
                      <m:sup>
                        <m:r>
                          <w:rPr>
                            <w:rFonts w:ascii="Cambria Math" w:eastAsia="Times New Roman" w:hAnsi="Cambria Math" w:cs="Arial"/>
                            <w:sz w:val="20"/>
                            <w:szCs w:val="20"/>
                            <w:lang w:val="en-US" w:eastAsia="de-DE"/>
                          </w:rPr>
                          <m:t>m</m:t>
                        </m:r>
                      </m:sup>
                      <m:e>
                        <m:sSub>
                          <m:sSubPr>
                            <m:ctrlPr>
                              <w:rPr>
                                <w:rFonts w:ascii="Cambria Math" w:eastAsia="Times New Roman" w:hAnsi="Cambria Math" w:cs="Arial"/>
                                <w:i/>
                                <w:sz w:val="20"/>
                                <w:szCs w:val="20"/>
                                <w:lang w:val="en-US"/>
                              </w:rPr>
                            </m:ctrlPr>
                          </m:sSubPr>
                          <m:e>
                            <m:d>
                              <m:dPr>
                                <m:ctrlPr>
                                  <w:rPr>
                                    <w:rFonts w:ascii="Cambria Math" w:eastAsia="Times New Roman" w:hAnsi="Cambria Math" w:cs="Arial"/>
                                    <w:i/>
                                    <w:sz w:val="20"/>
                                    <w:szCs w:val="20"/>
                                    <w:lang w:val="en-US"/>
                                  </w:rPr>
                                </m:ctrlPr>
                              </m:dPr>
                              <m:e>
                                <m:sSubSup>
                                  <m:sSubSupPr>
                                    <m:ctrlPr>
                                      <w:rPr>
                                        <w:rFonts w:ascii="Cambria Math" w:eastAsia="Times New Roman" w:hAnsi="Cambria Math" w:cs="Arial"/>
                                        <w:i/>
                                        <w:sz w:val="20"/>
                                        <w:szCs w:val="20"/>
                                        <w:lang w:val="en-US"/>
                                      </w:rPr>
                                    </m:ctrlPr>
                                  </m:sSubSupPr>
                                  <m:e>
                                    <m:r>
                                      <w:rPr>
                                        <w:rFonts w:ascii="Cambria Math" w:eastAsia="Times New Roman" w:hAnsi="Cambria Math" w:cs="Arial"/>
                                        <w:sz w:val="20"/>
                                        <w:szCs w:val="20"/>
                                        <w:lang w:val="en-US"/>
                                      </w:rPr>
                                      <m:t>p</m:t>
                                    </m:r>
                                  </m:e>
                                  <m:sub>
                                    <m:r>
                                      <w:rPr>
                                        <w:rFonts w:ascii="Cambria Math" w:eastAsia="Times New Roman" w:hAnsi="Cambria Math" w:cs="Arial"/>
                                        <w:sz w:val="20"/>
                                        <w:szCs w:val="20"/>
                                        <w:lang w:val="en-US"/>
                                      </w:rPr>
                                      <m:t>i</m:t>
                                    </m:r>
                                  </m:sub>
                                  <m:sup>
                                    <m:r>
                                      <w:rPr>
                                        <w:rFonts w:ascii="Cambria Math" w:eastAsia="Times New Roman" w:hAnsi="Cambria Math" w:cs="Arial"/>
                                        <w:sz w:val="20"/>
                                        <w:szCs w:val="20"/>
                                      </w:rPr>
                                      <m:t>1</m:t>
                                    </m:r>
                                  </m:sup>
                                </m:sSubSup>
                                <m:sSubSup>
                                  <m:sSubSupPr>
                                    <m:ctrlPr>
                                      <w:rPr>
                                        <w:rFonts w:ascii="Cambria Math" w:eastAsia="Times New Roman" w:hAnsi="Cambria Math" w:cs="Arial"/>
                                        <w:i/>
                                        <w:sz w:val="20"/>
                                        <w:szCs w:val="20"/>
                                        <w:lang w:val="en-US"/>
                                      </w:rPr>
                                    </m:ctrlPr>
                                  </m:sSubSupPr>
                                  <m:e>
                                    <m:r>
                                      <w:rPr>
                                        <w:rFonts w:ascii="Cambria Math" w:eastAsia="Times New Roman" w:hAnsi="Cambria Math" w:cs="Arial"/>
                                        <w:sz w:val="20"/>
                                        <w:szCs w:val="20"/>
                                        <w:lang w:val="en-US"/>
                                      </w:rPr>
                                      <m:t>U</m:t>
                                    </m:r>
                                  </m:e>
                                  <m:sub>
                                    <m:r>
                                      <w:rPr>
                                        <w:rFonts w:ascii="Cambria Math" w:eastAsia="Times New Roman" w:hAnsi="Cambria Math" w:cs="Arial"/>
                                        <w:sz w:val="20"/>
                                        <w:szCs w:val="20"/>
                                        <w:lang w:val="en-US"/>
                                      </w:rPr>
                                      <m:t>i</m:t>
                                    </m:r>
                                  </m:sub>
                                  <m:sup>
                                    <m:r>
                                      <w:rPr>
                                        <w:rFonts w:ascii="Cambria Math" w:eastAsia="Times New Roman" w:hAnsi="Cambria Math" w:cs="Arial"/>
                                        <w:sz w:val="20"/>
                                        <w:szCs w:val="20"/>
                                      </w:rPr>
                                      <m:t>1</m:t>
                                    </m:r>
                                  </m:sup>
                                </m:sSubSup>
                                <m:r>
                                  <w:rPr>
                                    <w:rFonts w:ascii="Cambria Math" w:eastAsia="Times New Roman" w:hAnsi="Cambria Math" w:cs="Arial"/>
                                    <w:sz w:val="20"/>
                                    <w:szCs w:val="20"/>
                                  </w:rPr>
                                  <m:t>-</m:t>
                                </m:r>
                                <m:sSubSup>
                                  <m:sSubSupPr>
                                    <m:ctrlPr>
                                      <w:rPr>
                                        <w:rFonts w:ascii="Cambria Math" w:eastAsia="Times New Roman" w:hAnsi="Cambria Math" w:cs="Arial"/>
                                        <w:i/>
                                        <w:sz w:val="20"/>
                                        <w:szCs w:val="20"/>
                                        <w:lang w:val="en-US"/>
                                      </w:rPr>
                                    </m:ctrlPr>
                                  </m:sSubSupPr>
                                  <m:e>
                                    <m:r>
                                      <w:rPr>
                                        <w:rFonts w:ascii="Cambria Math" w:eastAsia="Times New Roman" w:hAnsi="Cambria Math" w:cs="Arial"/>
                                        <w:sz w:val="20"/>
                                        <w:szCs w:val="20"/>
                                        <w:lang w:val="en-US"/>
                                      </w:rPr>
                                      <m:t>p</m:t>
                                    </m:r>
                                  </m:e>
                                  <m:sub>
                                    <m:r>
                                      <w:rPr>
                                        <w:rFonts w:ascii="Cambria Math" w:eastAsia="Times New Roman" w:hAnsi="Cambria Math" w:cs="Arial"/>
                                        <w:sz w:val="20"/>
                                        <w:szCs w:val="20"/>
                                        <w:lang w:val="en-US"/>
                                      </w:rPr>
                                      <m:t>i</m:t>
                                    </m:r>
                                  </m:sub>
                                  <m:sup>
                                    <m:r>
                                      <w:rPr>
                                        <w:rFonts w:ascii="Cambria Math" w:eastAsia="Times New Roman" w:hAnsi="Cambria Math" w:cs="Arial"/>
                                        <w:sz w:val="20"/>
                                        <w:szCs w:val="20"/>
                                      </w:rPr>
                                      <m:t>0</m:t>
                                    </m:r>
                                  </m:sup>
                                </m:sSubSup>
                                <m:sSubSup>
                                  <m:sSubSupPr>
                                    <m:ctrlPr>
                                      <w:rPr>
                                        <w:rFonts w:ascii="Cambria Math" w:eastAsia="Times New Roman" w:hAnsi="Cambria Math" w:cs="Arial"/>
                                        <w:i/>
                                        <w:sz w:val="20"/>
                                        <w:szCs w:val="20"/>
                                        <w:lang w:val="en-US"/>
                                      </w:rPr>
                                    </m:ctrlPr>
                                  </m:sSubSupPr>
                                  <m:e>
                                    <m:r>
                                      <w:rPr>
                                        <w:rFonts w:ascii="Cambria Math" w:eastAsia="Times New Roman" w:hAnsi="Cambria Math" w:cs="Arial"/>
                                        <w:sz w:val="20"/>
                                        <w:szCs w:val="20"/>
                                        <w:lang w:val="en-US"/>
                                      </w:rPr>
                                      <m:t>U</m:t>
                                    </m:r>
                                  </m:e>
                                  <m:sub>
                                    <m:r>
                                      <w:rPr>
                                        <w:rFonts w:ascii="Cambria Math" w:eastAsia="Times New Roman" w:hAnsi="Cambria Math" w:cs="Arial"/>
                                        <w:sz w:val="20"/>
                                        <w:szCs w:val="20"/>
                                        <w:lang w:val="en-US"/>
                                      </w:rPr>
                                      <m:t>i</m:t>
                                    </m:r>
                                  </m:sub>
                                  <m:sup>
                                    <m:r>
                                      <w:rPr>
                                        <w:rFonts w:ascii="Cambria Math" w:eastAsia="Times New Roman" w:hAnsi="Cambria Math" w:cs="Arial"/>
                                        <w:sz w:val="20"/>
                                        <w:szCs w:val="20"/>
                                      </w:rPr>
                                      <m:t>0</m:t>
                                    </m:r>
                                  </m:sup>
                                </m:sSubSup>
                              </m:e>
                            </m:d>
                          </m:e>
                          <m:sub>
                            <m:r>
                              <w:rPr>
                                <w:rFonts w:ascii="Cambria Math" w:eastAsia="Times New Roman" w:hAnsi="Cambria Math" w:cs="Arial"/>
                                <w:sz w:val="20"/>
                                <w:szCs w:val="20"/>
                                <w:lang w:val="en-US"/>
                              </w:rPr>
                              <m:t>t</m:t>
                            </m:r>
                          </m:sub>
                        </m:sSub>
                        <m:r>
                          <w:rPr>
                            <w:rFonts w:ascii="Cambria Math" w:eastAsia="Times New Roman" w:hAnsi="Cambria Math" w:cs="Arial"/>
                            <w:sz w:val="20"/>
                            <w:szCs w:val="20"/>
                          </w:rPr>
                          <m:t>-</m:t>
                        </m:r>
                        <m:nary>
                          <m:naryPr>
                            <m:chr m:val="∑"/>
                            <m:limLoc m:val="undOvr"/>
                            <m:ctrlPr>
                              <w:rPr>
                                <w:rFonts w:ascii="Cambria Math" w:eastAsia="Times New Roman" w:hAnsi="Cambria Math" w:cs="Arial"/>
                                <w:i/>
                                <w:sz w:val="20"/>
                                <w:szCs w:val="20"/>
                                <w:lang w:val="en-US"/>
                              </w:rPr>
                            </m:ctrlPr>
                          </m:naryPr>
                          <m:sub>
                            <m:r>
                              <w:rPr>
                                <w:rFonts w:ascii="Cambria Math" w:eastAsia="Times New Roman" w:hAnsi="Cambria Math" w:cs="Arial"/>
                                <w:sz w:val="20"/>
                                <w:szCs w:val="20"/>
                                <w:lang w:val="en-US" w:eastAsia="de-DE"/>
                              </w:rPr>
                              <m:t>k</m:t>
                            </m:r>
                            <m:r>
                              <w:rPr>
                                <w:rFonts w:ascii="Cambria Math" w:eastAsia="Times New Roman" w:hAnsi="Cambria Math" w:cs="Arial"/>
                                <w:sz w:val="20"/>
                                <w:szCs w:val="20"/>
                                <w:lang w:eastAsia="de-DE"/>
                              </w:rPr>
                              <m:t>=0</m:t>
                            </m:r>
                          </m:sub>
                          <m:sup>
                            <m:r>
                              <w:rPr>
                                <w:rFonts w:ascii="Cambria Math" w:eastAsia="Times New Roman" w:hAnsi="Cambria Math" w:cs="Arial"/>
                                <w:sz w:val="20"/>
                                <w:szCs w:val="20"/>
                                <w:lang w:val="en-US" w:eastAsia="de-DE"/>
                              </w:rPr>
                              <m:t>n</m:t>
                            </m:r>
                          </m:sup>
                          <m:e>
                            <m:sSub>
                              <m:sSubPr>
                                <m:ctrlPr>
                                  <w:rPr>
                                    <w:rFonts w:ascii="Cambria Math" w:eastAsia="Times New Roman" w:hAnsi="Cambria Math" w:cs="Arial"/>
                                    <w:i/>
                                    <w:sz w:val="20"/>
                                    <w:szCs w:val="20"/>
                                    <w:lang w:val="en-US"/>
                                  </w:rPr>
                                </m:ctrlPr>
                              </m:sSubPr>
                              <m:e>
                                <m:d>
                                  <m:dPr>
                                    <m:ctrlPr>
                                      <w:rPr>
                                        <w:rFonts w:ascii="Cambria Math" w:eastAsia="Times New Roman" w:hAnsi="Cambria Math" w:cs="Arial"/>
                                        <w:i/>
                                        <w:sz w:val="20"/>
                                        <w:szCs w:val="20"/>
                                        <w:lang w:val="en-US"/>
                                      </w:rPr>
                                    </m:ctrlPr>
                                  </m:dPr>
                                  <m:e>
                                    <m:sSubSup>
                                      <m:sSubSupPr>
                                        <m:ctrlPr>
                                          <w:rPr>
                                            <w:rFonts w:ascii="Cambria Math" w:eastAsia="Times New Roman" w:hAnsi="Cambria Math" w:cs="Arial"/>
                                            <w:i/>
                                            <w:sz w:val="20"/>
                                            <w:szCs w:val="20"/>
                                            <w:lang w:val="en-US"/>
                                          </w:rPr>
                                        </m:ctrlPr>
                                      </m:sSubSupPr>
                                      <m:e>
                                        <m:r>
                                          <w:rPr>
                                            <w:rFonts w:ascii="Cambria Math" w:eastAsia="Times New Roman" w:hAnsi="Cambria Math" w:cs="Arial"/>
                                            <w:sz w:val="20"/>
                                            <w:szCs w:val="20"/>
                                            <w:lang w:val="en-US"/>
                                          </w:rPr>
                                          <m:t>p</m:t>
                                        </m:r>
                                      </m:e>
                                      <m:sub>
                                        <m:r>
                                          <w:rPr>
                                            <w:rFonts w:ascii="Cambria Math" w:eastAsia="Times New Roman" w:hAnsi="Cambria Math" w:cs="Arial"/>
                                            <w:sz w:val="20"/>
                                            <w:szCs w:val="20"/>
                                            <w:lang w:val="en-US"/>
                                          </w:rPr>
                                          <m:t>k</m:t>
                                        </m:r>
                                      </m:sub>
                                      <m:sup>
                                        <m:r>
                                          <w:rPr>
                                            <w:rFonts w:ascii="Cambria Math" w:eastAsia="Times New Roman" w:hAnsi="Cambria Math" w:cs="Arial"/>
                                            <w:sz w:val="20"/>
                                            <w:szCs w:val="20"/>
                                          </w:rPr>
                                          <m:t>1</m:t>
                                        </m:r>
                                      </m:sup>
                                    </m:sSubSup>
                                    <m:sSubSup>
                                      <m:sSubSupPr>
                                        <m:ctrlPr>
                                          <w:rPr>
                                            <w:rFonts w:ascii="Cambria Math" w:eastAsia="Times New Roman" w:hAnsi="Cambria Math" w:cs="Arial"/>
                                            <w:i/>
                                            <w:sz w:val="20"/>
                                            <w:szCs w:val="20"/>
                                            <w:lang w:val="en-US"/>
                                          </w:rPr>
                                        </m:ctrlPr>
                                      </m:sSubSupPr>
                                      <m:e>
                                        <m:acc>
                                          <m:accPr>
                                            <m:chr m:val="̃"/>
                                            <m:ctrlPr>
                                              <w:rPr>
                                                <w:rFonts w:ascii="Cambria Math" w:eastAsia="Times New Roman" w:hAnsi="Cambria Math" w:cs="Arial"/>
                                                <w:i/>
                                                <w:sz w:val="20"/>
                                                <w:szCs w:val="20"/>
                                                <w:lang w:val="en-US" w:eastAsia="de-DE"/>
                                              </w:rPr>
                                            </m:ctrlPr>
                                          </m:accPr>
                                          <m:e>
                                            <m:r>
                                              <w:rPr>
                                                <w:rFonts w:ascii="Cambria Math" w:eastAsia="Times New Roman" w:hAnsi="Cambria Math" w:cs="Arial"/>
                                                <w:sz w:val="20"/>
                                                <w:szCs w:val="20"/>
                                                <w:lang w:val="en-US" w:eastAsia="de-DE"/>
                                              </w:rPr>
                                              <m:t>C</m:t>
                                            </m:r>
                                          </m:e>
                                        </m:acc>
                                      </m:e>
                                      <m:sub>
                                        <m:r>
                                          <w:rPr>
                                            <w:rFonts w:ascii="Cambria Math" w:eastAsia="Times New Roman" w:hAnsi="Cambria Math" w:cs="Arial"/>
                                            <w:sz w:val="20"/>
                                            <w:szCs w:val="20"/>
                                            <w:lang w:val="en-US"/>
                                          </w:rPr>
                                          <m:t>k</m:t>
                                        </m:r>
                                      </m:sub>
                                      <m:sup>
                                        <m:r>
                                          <w:rPr>
                                            <w:rFonts w:ascii="Cambria Math" w:eastAsia="Times New Roman" w:hAnsi="Cambria Math" w:cs="Arial"/>
                                            <w:sz w:val="20"/>
                                            <w:szCs w:val="20"/>
                                          </w:rPr>
                                          <m:t>1</m:t>
                                        </m:r>
                                      </m:sup>
                                    </m:sSubSup>
                                    <m:r>
                                      <w:rPr>
                                        <w:rFonts w:ascii="Cambria Math" w:eastAsia="Times New Roman" w:hAnsi="Cambria Math" w:cs="Arial"/>
                                        <w:sz w:val="20"/>
                                        <w:szCs w:val="20"/>
                                      </w:rPr>
                                      <m:t>-</m:t>
                                    </m:r>
                                    <m:sSubSup>
                                      <m:sSubSupPr>
                                        <m:ctrlPr>
                                          <w:rPr>
                                            <w:rFonts w:ascii="Cambria Math" w:eastAsia="Times New Roman" w:hAnsi="Cambria Math" w:cs="Arial"/>
                                            <w:i/>
                                            <w:sz w:val="20"/>
                                            <w:szCs w:val="20"/>
                                            <w:lang w:val="en-US"/>
                                          </w:rPr>
                                        </m:ctrlPr>
                                      </m:sSubSupPr>
                                      <m:e>
                                        <m:r>
                                          <w:rPr>
                                            <w:rFonts w:ascii="Cambria Math" w:eastAsia="Times New Roman" w:hAnsi="Cambria Math" w:cs="Arial"/>
                                            <w:sz w:val="20"/>
                                            <w:szCs w:val="20"/>
                                            <w:lang w:val="en-US"/>
                                          </w:rPr>
                                          <m:t>p</m:t>
                                        </m:r>
                                      </m:e>
                                      <m:sub>
                                        <m:r>
                                          <w:rPr>
                                            <w:rFonts w:ascii="Cambria Math" w:eastAsia="Times New Roman" w:hAnsi="Cambria Math" w:cs="Arial"/>
                                            <w:sz w:val="20"/>
                                            <w:szCs w:val="20"/>
                                            <w:lang w:val="en-US"/>
                                          </w:rPr>
                                          <m:t>k</m:t>
                                        </m:r>
                                      </m:sub>
                                      <m:sup>
                                        <m:r>
                                          <w:rPr>
                                            <w:rFonts w:ascii="Cambria Math" w:eastAsia="Times New Roman" w:hAnsi="Cambria Math" w:cs="Arial"/>
                                            <w:sz w:val="20"/>
                                            <w:szCs w:val="20"/>
                                          </w:rPr>
                                          <m:t>0</m:t>
                                        </m:r>
                                      </m:sup>
                                    </m:sSubSup>
                                    <m:sSubSup>
                                      <m:sSubSupPr>
                                        <m:ctrlPr>
                                          <w:rPr>
                                            <w:rFonts w:ascii="Cambria Math" w:eastAsia="Times New Roman" w:hAnsi="Cambria Math" w:cs="Arial"/>
                                            <w:i/>
                                            <w:sz w:val="20"/>
                                            <w:szCs w:val="20"/>
                                            <w:lang w:val="en-US"/>
                                          </w:rPr>
                                        </m:ctrlPr>
                                      </m:sSubSupPr>
                                      <m:e>
                                        <m:acc>
                                          <m:accPr>
                                            <m:chr m:val="̃"/>
                                            <m:ctrlPr>
                                              <w:rPr>
                                                <w:rFonts w:ascii="Cambria Math" w:eastAsia="Times New Roman" w:hAnsi="Cambria Math" w:cs="Arial"/>
                                                <w:i/>
                                                <w:sz w:val="20"/>
                                                <w:szCs w:val="20"/>
                                                <w:lang w:val="en-US" w:eastAsia="de-DE"/>
                                              </w:rPr>
                                            </m:ctrlPr>
                                          </m:accPr>
                                          <m:e>
                                            <m:r>
                                              <w:rPr>
                                                <w:rFonts w:ascii="Cambria Math" w:eastAsia="Times New Roman" w:hAnsi="Cambria Math" w:cs="Arial"/>
                                                <w:sz w:val="20"/>
                                                <w:szCs w:val="20"/>
                                                <w:lang w:val="en-US" w:eastAsia="de-DE"/>
                                              </w:rPr>
                                              <m:t>C</m:t>
                                            </m:r>
                                          </m:e>
                                        </m:acc>
                                      </m:e>
                                      <m:sub>
                                        <m:r>
                                          <w:rPr>
                                            <w:rFonts w:ascii="Cambria Math" w:eastAsia="Times New Roman" w:hAnsi="Cambria Math" w:cs="Arial"/>
                                            <w:sz w:val="20"/>
                                            <w:szCs w:val="20"/>
                                            <w:lang w:val="en-US"/>
                                          </w:rPr>
                                          <m:t>k</m:t>
                                        </m:r>
                                      </m:sub>
                                      <m:sup>
                                        <m:r>
                                          <w:rPr>
                                            <w:rFonts w:ascii="Cambria Math" w:eastAsia="Times New Roman" w:hAnsi="Cambria Math" w:cs="Arial"/>
                                            <w:sz w:val="20"/>
                                            <w:szCs w:val="20"/>
                                          </w:rPr>
                                          <m:t>0</m:t>
                                        </m:r>
                                      </m:sup>
                                    </m:sSubSup>
                                  </m:e>
                                </m:d>
                              </m:e>
                              <m:sub>
                                <m:r>
                                  <w:rPr>
                                    <w:rFonts w:ascii="Cambria Math" w:eastAsia="Times New Roman" w:hAnsi="Cambria Math" w:cs="Arial"/>
                                    <w:sz w:val="20"/>
                                    <w:szCs w:val="20"/>
                                    <w:lang w:val="en-US"/>
                                  </w:rPr>
                                  <m:t>t</m:t>
                                </m:r>
                              </m:sub>
                            </m:sSub>
                            <m:r>
                              <w:rPr>
                                <w:rFonts w:ascii="Cambria Math" w:eastAsia="Times New Roman" w:hAnsi="Cambria Math" w:cs="Arial"/>
                                <w:sz w:val="20"/>
                                <w:szCs w:val="20"/>
                              </w:rPr>
                              <m:t>-</m:t>
                            </m:r>
                            <m:r>
                              <w:rPr>
                                <w:rFonts w:ascii="Cambria Math" w:eastAsia="Times New Roman" w:hAnsi="Cambria Math" w:cs="Arial"/>
                                <w:sz w:val="20"/>
                                <w:szCs w:val="20"/>
                                <w:lang w:val="en-US" w:eastAsia="de-DE"/>
                              </w:rPr>
                              <m:t>I</m:t>
                            </m:r>
                            <m:r>
                              <w:rPr>
                                <w:rFonts w:ascii="Cambria Math" w:eastAsia="Times New Roman" w:hAnsi="Cambria Math" w:cs="Arial"/>
                                <w:sz w:val="20"/>
                                <w:szCs w:val="20"/>
                              </w:rPr>
                              <m:t xml:space="preserve"> </m:t>
                            </m:r>
                          </m:e>
                        </m:nary>
                        <m:r>
                          <w:rPr>
                            <w:rFonts w:ascii="Cambria Math" w:eastAsia="Times New Roman" w:hAnsi="Cambria Math" w:cs="Arial"/>
                            <w:sz w:val="20"/>
                            <w:szCs w:val="20"/>
                          </w:rPr>
                          <m:t xml:space="preserve"> </m:t>
                        </m:r>
                      </m:e>
                    </m:nary>
                  </m:e>
                </m:d>
                <m:d>
                  <m:dPr>
                    <m:begChr m:val=""/>
                    <m:endChr m:val="|"/>
                    <m:ctrlPr>
                      <w:rPr>
                        <w:rFonts w:ascii="Cambria Math" w:eastAsia="Times New Roman" w:hAnsi="Cambria Math" w:cs="Arial"/>
                        <w:i/>
                        <w:sz w:val="20"/>
                        <w:szCs w:val="20"/>
                        <w:lang w:val="en-US"/>
                      </w:rPr>
                    </m:ctrlPr>
                  </m:dPr>
                  <m:e>
                    <m:r>
                      <w:rPr>
                        <w:rFonts w:ascii="Cambria Math" w:eastAsia="Times New Roman" w:hAnsi="Cambria Math" w:cs="Arial"/>
                        <w:sz w:val="20"/>
                        <w:szCs w:val="20"/>
                      </w:rPr>
                      <m:t>+</m:t>
                    </m:r>
                    <m:sSup>
                      <m:sSupPr>
                        <m:ctrlPr>
                          <w:rPr>
                            <w:rFonts w:ascii="Cambria Math" w:eastAsia="Times New Roman" w:hAnsi="Cambria Math" w:cs="Arial"/>
                            <w:i/>
                            <w:sz w:val="20"/>
                            <w:szCs w:val="20"/>
                            <w:lang w:val="en-US"/>
                          </w:rPr>
                        </m:ctrlPr>
                      </m:sSupPr>
                      <m:e>
                        <m:r>
                          <w:rPr>
                            <w:rFonts w:ascii="Cambria Math" w:eastAsia="Times New Roman" w:hAnsi="Cambria Math" w:cs="Arial"/>
                            <w:sz w:val="20"/>
                            <w:szCs w:val="20"/>
                            <w:lang w:val="en-US"/>
                          </w:rPr>
                          <m:t>S</m:t>
                        </m:r>
                      </m:e>
                      <m:sup>
                        <m:r>
                          <w:rPr>
                            <w:rFonts w:ascii="Cambria Math" w:eastAsia="Times New Roman" w:hAnsi="Cambria Math" w:cs="Arial"/>
                            <w:sz w:val="20"/>
                            <w:szCs w:val="20"/>
                          </w:rPr>
                          <m:t>*</m:t>
                        </m:r>
                      </m:sup>
                    </m:sSup>
                  </m:e>
                </m:d>
                <m:r>
                  <w:rPr>
                    <w:rFonts w:ascii="Cambria Math" w:eastAsia="Times New Roman" w:hAnsi="Cambria Math" w:cs="Arial"/>
                    <w:sz w:val="20"/>
                    <w:szCs w:val="20"/>
                    <w:lang w:val="en-US" w:eastAsia="de-DE"/>
                  </w:rPr>
                  <m:t>Ω</m:t>
                </m:r>
                <m:r>
                  <w:rPr>
                    <w:rFonts w:ascii="Cambria Math" w:eastAsia="Times New Roman" w:hAnsi="Cambria Math" w:cs="Arial"/>
                    <w:sz w:val="20"/>
                    <w:szCs w:val="20"/>
                    <w:lang w:eastAsia="de-DE"/>
                  </w:rPr>
                  <m:t>(0)</m:t>
                </m:r>
              </m:e>
            </m:d>
          </m:e>
        </m:nary>
      </m:oMath>
      <w:r w:rsidR="003A7850" w:rsidRPr="00CC115E">
        <w:rPr>
          <w:rFonts w:eastAsia="Times New Roman" w:cs="Arial"/>
        </w:rPr>
        <w:tab/>
        <w:t>(1)</w:t>
      </w:r>
    </w:p>
    <w:p w:rsidR="003A7850" w:rsidRPr="00CC115E" w:rsidRDefault="003A7850" w:rsidP="003A7850">
      <w:pPr>
        <w:rPr>
          <w:rFonts w:eastAsia="Times New Roman" w:cs="Arial"/>
          <w:bCs/>
          <w:iCs/>
          <w:lang w:val="en-US" w:eastAsia="de-DE"/>
        </w:rPr>
      </w:pPr>
      <w:r w:rsidRPr="00CC115E">
        <w:rPr>
          <w:rFonts w:eastAsia="SimSun" w:cs="Arial"/>
          <w:iCs/>
          <w:color w:val="00000A"/>
          <w:kern w:val="3"/>
          <w:lang w:val="en-US" w:eastAsia="zh-CN" w:bidi="hi-IN"/>
        </w:rPr>
        <w:t xml:space="preserve">where the graduate’s goal is to maximize his/her NPV, which </w:t>
      </w:r>
      <w:r w:rsidRPr="00CC115E">
        <w:rPr>
          <w:rFonts w:eastAsia="Times New Roman" w:cs="Arial"/>
          <w:lang w:val="en-US" w:eastAsia="de-DE"/>
        </w:rPr>
        <w:t xml:space="preserve">is made up by the difference over a time </w:t>
      </w:r>
      <m:oMath>
        <m:r>
          <w:rPr>
            <w:rFonts w:ascii="Cambria Math" w:eastAsia="Times New Roman" w:hAnsi="Cambria Math" w:cs="Arial"/>
            <w:lang w:val="en-US" w:eastAsia="de-DE"/>
          </w:rPr>
          <m:t>t=∈(1, …, T)</m:t>
        </m:r>
      </m:oMath>
      <w:r w:rsidRPr="00CC115E">
        <w:rPr>
          <w:rFonts w:eastAsia="SimSun" w:cs="Arial"/>
          <w:iCs/>
          <w:color w:val="00000A"/>
          <w:kern w:val="3"/>
          <w:lang w:val="en-US" w:eastAsia="zh-CN" w:bidi="hi-IN"/>
        </w:rPr>
        <w:t xml:space="preserve">. </w:t>
      </w:r>
      <w:r w:rsidRPr="00CC115E">
        <w:rPr>
          <w:rFonts w:eastAsia="Times New Roman" w:cs="Arial"/>
          <w:bCs/>
          <w:iCs/>
          <w:lang w:val="en-US" w:eastAsia="de-DE"/>
        </w:rPr>
        <w:t xml:space="preserve">The term </w:t>
      </w:r>
      <m:oMath>
        <m:sSubSup>
          <m:sSubSupPr>
            <m:ctrlPr>
              <w:rPr>
                <w:rFonts w:ascii="Cambria Math" w:eastAsia="Times New Roman" w:hAnsi="Cambria Math" w:cs="Arial"/>
                <w:i/>
                <w:lang w:val="en-US"/>
              </w:rPr>
            </m:ctrlPr>
          </m:sSubSupPr>
          <m:e>
            <m:r>
              <w:rPr>
                <w:rFonts w:ascii="Cambria Math" w:eastAsia="Times New Roman" w:hAnsi="Cambria Math" w:cs="Arial"/>
                <w:lang w:val="en-US"/>
              </w:rPr>
              <m:t>U</m:t>
            </m:r>
          </m:e>
          <m:sub>
            <m:r>
              <w:rPr>
                <w:rFonts w:ascii="Cambria Math" w:eastAsia="Times New Roman" w:hAnsi="Cambria Math" w:cs="Arial"/>
                <w:lang w:val="en-US"/>
              </w:rPr>
              <m:t>i</m:t>
            </m:r>
          </m:sub>
          <m:sup>
            <m:r>
              <w:rPr>
                <w:rFonts w:ascii="Cambria Math" w:eastAsia="Times New Roman" w:hAnsi="Cambria Math" w:cs="Arial"/>
                <w:lang w:val="en-US"/>
              </w:rPr>
              <m:t>j</m:t>
            </m:r>
          </m:sup>
        </m:sSubSup>
      </m:oMath>
      <w:r w:rsidRPr="00CC115E">
        <w:rPr>
          <w:rFonts w:eastAsia="Times New Roman" w:cs="Arial"/>
          <w:bCs/>
          <w:iCs/>
          <w:lang w:val="en-US" w:eastAsia="de-DE"/>
        </w:rPr>
        <w:t xml:space="preserve"> indicates utility based on the various dimensions </w:t>
      </w:r>
      <m:oMath>
        <m:r>
          <w:rPr>
            <w:rFonts w:ascii="Cambria Math" w:eastAsia="Times New Roman" w:hAnsi="Cambria Math" w:cs="Arial"/>
            <w:lang w:val="en-US" w:eastAsia="de-DE"/>
          </w:rPr>
          <m:t xml:space="preserve">i </m:t>
        </m:r>
      </m:oMath>
      <w:r w:rsidRPr="00CC115E">
        <w:rPr>
          <w:rFonts w:eastAsia="Times New Roman" w:cs="Arial"/>
          <w:bCs/>
          <w:iCs/>
          <w:lang w:val="en-US" w:eastAsia="de-DE"/>
        </w:rPr>
        <w:t xml:space="preserve">, of living in </w:t>
      </w:r>
      <w:r w:rsidRPr="00CC115E">
        <w:rPr>
          <w:rFonts w:eastAsia="SimSun" w:cs="Arial"/>
          <w:bCs/>
          <w:iCs/>
          <w:color w:val="00000A"/>
          <w:kern w:val="3"/>
          <w:lang w:val="en-US" w:eastAsia="zh-CN" w:bidi="hi-IN"/>
        </w:rPr>
        <w:t xml:space="preserve">location </w:t>
      </w:r>
      <m:oMath>
        <m:r>
          <w:rPr>
            <w:rFonts w:ascii="Cambria Math" w:eastAsia="SimSun" w:hAnsi="Cambria Math" w:cs="Arial"/>
            <w:color w:val="00000A"/>
            <w:kern w:val="3"/>
            <w:lang w:val="en-US" w:eastAsia="zh-CN" w:bidi="hi-IN"/>
          </w:rPr>
          <m:t>j=1,0</m:t>
        </m:r>
      </m:oMath>
      <w:r w:rsidRPr="00CC115E">
        <w:rPr>
          <w:rFonts w:eastAsia="SimSun" w:cs="Arial"/>
          <w:bCs/>
          <w:iCs/>
          <w:color w:val="00000A"/>
          <w:kern w:val="3"/>
          <w:lang w:val="en-US" w:eastAsia="zh-CN" w:bidi="hi-IN"/>
        </w:rPr>
        <w:t>, where 1 refers to the rural return location,</w:t>
      </w:r>
      <w:r w:rsidRPr="00CC115E">
        <w:rPr>
          <w:rFonts w:eastAsia="Times New Roman" w:cs="Arial"/>
          <w:bCs/>
          <w:iCs/>
          <w:lang w:val="en-US" w:eastAsia="de-DE"/>
        </w:rPr>
        <w:t xml:space="preserve"> in year </w:t>
      </w:r>
      <m:oMath>
        <m:r>
          <w:rPr>
            <w:rFonts w:ascii="Cambria Math" w:eastAsia="Times New Roman" w:hAnsi="Cambria Math" w:cs="Arial"/>
            <w:lang w:val="en-US" w:eastAsia="de-DE"/>
          </w:rPr>
          <m:t>t</m:t>
        </m:r>
      </m:oMath>
      <w:r w:rsidRPr="00CC115E">
        <w:rPr>
          <w:rFonts w:eastAsia="Times New Roman" w:cs="Arial"/>
          <w:bCs/>
          <w:iCs/>
          <w:lang w:val="en-US" w:eastAsia="de-DE"/>
        </w:rPr>
        <w:t xml:space="preserve">. The analogous rationale is followed with regard to the various dimensions </w:t>
      </w:r>
      <m:oMath>
        <m:r>
          <w:rPr>
            <w:rFonts w:ascii="Cambria Math" w:eastAsia="Times New Roman" w:hAnsi="Cambria Math" w:cs="Arial"/>
            <w:lang w:val="en-US" w:eastAsia="de-DE"/>
          </w:rPr>
          <m:t>k</m:t>
        </m:r>
      </m:oMath>
      <w:r w:rsidRPr="00CC115E">
        <w:rPr>
          <w:rFonts w:eastAsia="Times New Roman" w:cs="Arial"/>
          <w:bCs/>
          <w:iCs/>
          <w:lang w:val="en-US" w:eastAsia="de-DE"/>
        </w:rPr>
        <w:t xml:space="preserve"> of economic and non-economic costs denoted in utility terms and given by </w:t>
      </w:r>
      <m:oMath>
        <m:sSubSup>
          <m:sSubSupPr>
            <m:ctrlPr>
              <w:rPr>
                <w:rFonts w:ascii="Cambria Math" w:eastAsia="Times New Roman" w:hAnsi="Cambria Math" w:cs="Arial"/>
                <w:i/>
                <w:lang w:val="en-US"/>
              </w:rPr>
            </m:ctrlPr>
          </m:sSubSupPr>
          <m:e>
            <m:acc>
              <m:accPr>
                <m:chr m:val="̃"/>
                <m:ctrlPr>
                  <w:rPr>
                    <w:rFonts w:ascii="Cambria Math" w:eastAsia="Times New Roman" w:hAnsi="Cambria Math" w:cs="Arial"/>
                    <w:i/>
                    <w:lang w:val="en-US" w:eastAsia="de-DE"/>
                  </w:rPr>
                </m:ctrlPr>
              </m:accPr>
              <m:e>
                <m:r>
                  <w:rPr>
                    <w:rFonts w:ascii="Cambria Math" w:eastAsia="Times New Roman" w:hAnsi="Cambria Math" w:cs="Arial"/>
                    <w:lang w:val="en-US" w:eastAsia="de-DE"/>
                  </w:rPr>
                  <m:t>C</m:t>
                </m:r>
              </m:e>
            </m:acc>
          </m:e>
          <m:sub>
            <m:r>
              <w:rPr>
                <w:rFonts w:ascii="Cambria Math" w:eastAsia="Times New Roman" w:hAnsi="Cambria Math" w:cs="Arial"/>
                <w:lang w:val="en-US"/>
              </w:rPr>
              <m:t>k</m:t>
            </m:r>
          </m:sub>
          <m:sup>
            <m:r>
              <w:rPr>
                <w:rFonts w:ascii="Cambria Math" w:eastAsia="Times New Roman" w:hAnsi="Cambria Math" w:cs="Arial"/>
                <w:lang w:val="en-US"/>
              </w:rPr>
              <m:t>j</m:t>
            </m:r>
          </m:sup>
        </m:sSubSup>
      </m:oMath>
      <w:r w:rsidRPr="00CC115E">
        <w:rPr>
          <w:rFonts w:eastAsia="Times New Roman" w:cs="Arial"/>
          <w:lang w:val="en-US"/>
        </w:rPr>
        <w:t xml:space="preserve">. The symbol </w:t>
      </w:r>
      <m:oMath>
        <m:r>
          <w:rPr>
            <w:rFonts w:ascii="Cambria Math" w:eastAsia="Times New Roman" w:hAnsi="Cambria Math" w:cs="Arial"/>
            <w:lang w:val="en-US" w:eastAsia="de-DE"/>
          </w:rPr>
          <m:t>Ω(0)</m:t>
        </m:r>
      </m:oMath>
      <w:r w:rsidRPr="00CC115E">
        <w:rPr>
          <w:rFonts w:eastAsia="Times New Roman" w:cs="Arial"/>
          <w:bCs/>
          <w:iCs/>
          <w:lang w:val="en-US" w:eastAsia="de-DE"/>
        </w:rPr>
        <w:t xml:space="preserve"> signifies the current information set of the potential return migrant, resulting in subjective beliefs about the payoffs (</w:t>
      </w:r>
      <m:oMath>
        <m:sSubSup>
          <m:sSubSupPr>
            <m:ctrlPr>
              <w:rPr>
                <w:rFonts w:ascii="Cambria Math" w:eastAsia="Times New Roman" w:hAnsi="Cambria Math" w:cs="Arial"/>
                <w:i/>
                <w:lang w:val="en-US"/>
              </w:rPr>
            </m:ctrlPr>
          </m:sSubSupPr>
          <m:e>
            <m:r>
              <w:rPr>
                <w:rFonts w:ascii="Cambria Math" w:eastAsia="Times New Roman" w:hAnsi="Cambria Math" w:cs="Arial"/>
                <w:lang w:val="en-US"/>
              </w:rPr>
              <m:t>U</m:t>
            </m:r>
          </m:e>
          <m:sub>
            <m:r>
              <w:rPr>
                <w:rFonts w:ascii="Cambria Math" w:eastAsia="Times New Roman" w:hAnsi="Cambria Math" w:cs="Arial"/>
                <w:lang w:val="en-US"/>
              </w:rPr>
              <m:t>i</m:t>
            </m:r>
          </m:sub>
          <m:sup>
            <m:r>
              <w:rPr>
                <w:rFonts w:ascii="Cambria Math" w:eastAsia="Times New Roman" w:hAnsi="Cambria Math" w:cs="Arial"/>
                <w:lang w:val="en-US"/>
              </w:rPr>
              <m:t>j</m:t>
            </m:r>
          </m:sup>
        </m:sSubSup>
      </m:oMath>
      <w:r w:rsidRPr="00CC115E">
        <w:rPr>
          <w:rFonts w:eastAsia="Times New Roman" w:cs="Arial"/>
          <w:bCs/>
          <w:iCs/>
          <w:lang w:val="en-US" w:eastAsia="de-DE"/>
        </w:rPr>
        <w:t>) and costs (</w:t>
      </w:r>
      <m:oMath>
        <m:sSubSup>
          <m:sSubSupPr>
            <m:ctrlPr>
              <w:rPr>
                <w:rFonts w:ascii="Cambria Math" w:eastAsia="Times New Roman" w:hAnsi="Cambria Math" w:cs="Arial"/>
                <w:i/>
                <w:lang w:val="en-US"/>
              </w:rPr>
            </m:ctrlPr>
          </m:sSubSupPr>
          <m:e>
            <m:acc>
              <m:accPr>
                <m:chr m:val="̃"/>
                <m:ctrlPr>
                  <w:rPr>
                    <w:rFonts w:ascii="Cambria Math" w:eastAsia="Times New Roman" w:hAnsi="Cambria Math" w:cs="Arial"/>
                    <w:i/>
                    <w:lang w:val="en-US" w:eastAsia="de-DE"/>
                  </w:rPr>
                </m:ctrlPr>
              </m:accPr>
              <m:e>
                <m:r>
                  <w:rPr>
                    <w:rFonts w:ascii="Cambria Math" w:eastAsia="Times New Roman" w:hAnsi="Cambria Math" w:cs="Arial"/>
                    <w:lang w:val="en-US" w:eastAsia="de-DE"/>
                  </w:rPr>
                  <m:t>C</m:t>
                </m:r>
              </m:e>
            </m:acc>
          </m:e>
          <m:sub>
            <m:r>
              <w:rPr>
                <w:rFonts w:ascii="Cambria Math" w:eastAsia="Times New Roman" w:hAnsi="Cambria Math" w:cs="Arial"/>
                <w:lang w:val="en-US"/>
              </w:rPr>
              <m:t>k</m:t>
            </m:r>
          </m:sub>
          <m:sup>
            <m:r>
              <w:rPr>
                <w:rFonts w:ascii="Cambria Math" w:eastAsia="Times New Roman" w:hAnsi="Cambria Math" w:cs="Arial"/>
                <w:lang w:val="en-US"/>
              </w:rPr>
              <m:t>j</m:t>
            </m:r>
          </m:sup>
        </m:sSubSup>
      </m:oMath>
      <w:r w:rsidRPr="00CC115E">
        <w:rPr>
          <w:rFonts w:eastAsia="Times New Roman" w:cs="Arial"/>
          <w:bCs/>
          <w:iCs/>
          <w:lang w:val="en-US" w:eastAsia="de-DE"/>
        </w:rPr>
        <w:t>), represented by the term probability (</w:t>
      </w:r>
      <m:oMath>
        <m:r>
          <w:rPr>
            <w:rFonts w:ascii="Cambria Math" w:eastAsia="Times New Roman" w:hAnsi="Cambria Math" w:cs="Arial"/>
            <w:lang w:val="en-US" w:eastAsia="de-DE"/>
          </w:rPr>
          <m:t>p</m:t>
        </m:r>
      </m:oMath>
      <w:r w:rsidRPr="00CC115E">
        <w:rPr>
          <w:rFonts w:eastAsia="Times New Roman" w:cs="Arial"/>
          <w:bCs/>
          <w:iCs/>
          <w:lang w:val="en-US" w:eastAsia="de-DE"/>
        </w:rPr>
        <w:t xml:space="preserve">). </w:t>
      </w:r>
      <w:r w:rsidRPr="00CC115E">
        <w:rPr>
          <w:rFonts w:eastAsia="SimSun" w:cs="Arial"/>
          <w:iCs/>
          <w:color w:val="00000A"/>
          <w:kern w:val="3"/>
          <w:lang w:val="en-US" w:eastAsia="zh-CN" w:bidi="hi-IN"/>
        </w:rPr>
        <w:t xml:space="preserve">The subjectively expected probability, namely that the destination location is feasible, is given by </w:t>
      </w:r>
      <m:oMath>
        <m:r>
          <w:rPr>
            <w:rFonts w:ascii="Cambria Math" w:eastAsia="SimSun" w:hAnsi="Cambria Math" w:cs="Arial"/>
            <w:color w:val="00000A"/>
            <w:kern w:val="3"/>
            <w:lang w:val="en-US" w:eastAsia="zh-CN" w:bidi="hi-IN"/>
          </w:rPr>
          <m:t>p</m:t>
        </m:r>
      </m:oMath>
      <w:r w:rsidRPr="00CC115E">
        <w:rPr>
          <w:rFonts w:eastAsia="SimSun" w:cs="Arial"/>
          <w:color w:val="00000A"/>
          <w:kern w:val="3"/>
          <w:lang w:val="en-US" w:eastAsia="zh-CN" w:bidi="hi-IN"/>
        </w:rPr>
        <w:t xml:space="preserve">, </w:t>
      </w:r>
      <w:r w:rsidRPr="00CC115E">
        <w:rPr>
          <w:rFonts w:eastAsia="SimSun" w:cs="Arial"/>
          <w:bCs/>
          <w:iCs/>
          <w:color w:val="00000A"/>
          <w:kern w:val="3"/>
          <w:lang w:val="en-US" w:eastAsia="zh-CN" w:bidi="hi-IN"/>
        </w:rPr>
        <w:t xml:space="preserve">where </w:t>
      </w:r>
      <m:oMath>
        <m:r>
          <w:rPr>
            <w:rFonts w:ascii="Cambria Math" w:eastAsia="SimSun" w:hAnsi="Cambria Math" w:cs="Arial"/>
            <w:color w:val="00000A"/>
            <w:kern w:val="3"/>
            <w:lang w:val="en-US" w:eastAsia="zh-CN" w:bidi="hi-IN"/>
          </w:rPr>
          <m:t>0&lt;p&lt;1</m:t>
        </m:r>
      </m:oMath>
      <w:r w:rsidRPr="00CC115E">
        <w:rPr>
          <w:rFonts w:eastAsia="SimSun" w:cs="Arial"/>
          <w:iCs/>
          <w:color w:val="00000A"/>
          <w:kern w:val="3"/>
          <w:lang w:val="en-US" w:eastAsia="zh-CN" w:bidi="hi-IN"/>
        </w:rPr>
        <w:t>.</w:t>
      </w:r>
      <w:r w:rsidRPr="00CC115E">
        <w:rPr>
          <w:rStyle w:val="Funotenzeichen"/>
          <w:rFonts w:eastAsia="SimSun" w:cs="Arial"/>
          <w:iCs/>
          <w:color w:val="00000A"/>
          <w:kern w:val="3"/>
          <w:lang w:val="en-US" w:eastAsia="zh-CN" w:bidi="hi-IN"/>
        </w:rPr>
        <w:footnoteReference w:id="4"/>
      </w:r>
      <w:r w:rsidRPr="00CC115E">
        <w:rPr>
          <w:rFonts w:eastAsia="SimSun" w:cs="Arial"/>
          <w:iCs/>
          <w:color w:val="00000A"/>
          <w:kern w:val="3"/>
          <w:lang w:val="en-US" w:eastAsia="zh-CN" w:bidi="hi-IN"/>
        </w:rPr>
        <w:t xml:space="preserve"> </w:t>
      </w:r>
      <w:r w:rsidRPr="00CC115E">
        <w:rPr>
          <w:rFonts w:eastAsia="SimSun" w:cs="Arial"/>
          <w:bCs/>
          <w:iCs/>
          <w:color w:val="00000A"/>
          <w:kern w:val="3"/>
          <w:lang w:val="en-US" w:eastAsia="zh-CN" w:bidi="hi-IN"/>
        </w:rPr>
        <w:t>The</w:t>
      </w:r>
      <w:r w:rsidRPr="00CC115E">
        <w:rPr>
          <w:rFonts w:eastAsia="SimSun" w:cs="Arial"/>
          <w:iCs/>
          <w:color w:val="00000A"/>
          <w:kern w:val="3"/>
          <w:lang w:val="en-US" w:eastAsia="zh-CN" w:bidi="hi-IN"/>
        </w:rPr>
        <w:t xml:space="preserve"> finite time horizon (</w:t>
      </w:r>
      <m:oMath>
        <m:r>
          <w:rPr>
            <w:rFonts w:ascii="Cambria Math" w:eastAsia="SimSun" w:hAnsi="Cambria Math" w:cs="Arial"/>
            <w:color w:val="00000A"/>
            <w:kern w:val="3"/>
            <w:lang w:val="en-US" w:eastAsia="zh-CN" w:bidi="hi-IN"/>
          </w:rPr>
          <m:t>T</m:t>
        </m:r>
      </m:oMath>
      <w:r w:rsidRPr="00CC115E">
        <w:rPr>
          <w:rFonts w:eastAsia="SimSun" w:cs="Arial"/>
          <w:iCs/>
          <w:color w:val="00000A"/>
          <w:kern w:val="3"/>
          <w:lang w:val="en-US" w:eastAsia="zh-CN" w:bidi="hi-IN"/>
        </w:rPr>
        <w:t xml:space="preserve">) and the preference for the present, </w:t>
      </w:r>
      <w:r w:rsidRPr="00CC115E">
        <w:rPr>
          <w:rFonts w:eastAsia="SimSun" w:cs="Arial"/>
          <w:iCs/>
          <w:color w:val="00000A"/>
          <w:kern w:val="3"/>
          <w:lang w:val="en-US" w:eastAsia="zh-CN" w:bidi="hi-IN"/>
        </w:rPr>
        <w:lastRenderedPageBreak/>
        <w:t xml:space="preserve">relative to the future is also taken into account. This time preference rate is introduced with a discount factor </w:t>
      </w:r>
      <m:oMath>
        <m:r>
          <w:rPr>
            <w:rFonts w:ascii="Cambria Math" w:eastAsia="SimSun" w:hAnsi="Cambria Math" w:cs="Arial"/>
            <w:color w:val="00000A"/>
            <w:kern w:val="3"/>
            <w:sz w:val="20"/>
            <w:szCs w:val="20"/>
            <w:lang w:val="en-US" w:eastAsia="zh-CN" w:bidi="hi-IN"/>
          </w:rPr>
          <m:t>σ</m:t>
        </m:r>
      </m:oMath>
      <w:r w:rsidRPr="00CC115E">
        <w:rPr>
          <w:rFonts w:eastAsia="SimSun" w:cs="Arial"/>
          <w:bCs/>
          <w:iCs/>
          <w:color w:val="00000A"/>
          <w:kern w:val="3"/>
          <w:lang w:val="en-US" w:eastAsia="zh-CN" w:bidi="hi-IN"/>
        </w:rPr>
        <w:t xml:space="preserve">, where </w:t>
      </w:r>
      <m:oMath>
        <m:r>
          <w:rPr>
            <w:rFonts w:ascii="Cambria Math" w:eastAsia="SimSun" w:hAnsi="Cambria Math" w:cs="Arial"/>
            <w:color w:val="00000A"/>
            <w:kern w:val="3"/>
            <w:lang w:val="en-US" w:eastAsia="zh-CN" w:bidi="hi-IN"/>
          </w:rPr>
          <m:t>0&lt;</m:t>
        </m:r>
        <m:r>
          <w:rPr>
            <w:rFonts w:ascii="Cambria Math" w:eastAsia="SimSun" w:hAnsi="Cambria Math" w:cs="Arial"/>
            <w:color w:val="00000A"/>
            <w:kern w:val="3"/>
            <w:sz w:val="20"/>
            <w:szCs w:val="20"/>
            <w:lang w:val="en-US" w:eastAsia="zh-CN" w:bidi="hi-IN"/>
          </w:rPr>
          <m:t>σ</m:t>
        </m:r>
        <m:r>
          <w:rPr>
            <w:rFonts w:ascii="Cambria Math" w:eastAsia="SimSun" w:hAnsi="Cambria Math" w:cs="Arial"/>
            <w:color w:val="00000A"/>
            <w:kern w:val="3"/>
            <w:lang w:val="en-US" w:eastAsia="zh-CN" w:bidi="hi-IN"/>
          </w:rPr>
          <m:t>&lt;1</m:t>
        </m:r>
      </m:oMath>
      <w:r w:rsidRPr="00CC115E">
        <w:rPr>
          <w:rFonts w:eastAsia="SimSun" w:cs="Arial"/>
          <w:bCs/>
          <w:iCs/>
          <w:color w:val="00000A"/>
          <w:kern w:val="3"/>
          <w:lang w:val="en-US" w:eastAsia="zh-CN" w:bidi="hi-IN"/>
        </w:rPr>
        <w:t xml:space="preserve">; </w:t>
      </w:r>
      <m:oMath>
        <m:r>
          <w:rPr>
            <w:rFonts w:ascii="Cambria Math" w:eastAsia="SimSun" w:hAnsi="Cambria Math" w:cs="Arial"/>
            <w:color w:val="00000A"/>
            <w:kern w:val="3"/>
            <w:sz w:val="20"/>
            <w:szCs w:val="20"/>
            <w:lang w:val="en-US" w:eastAsia="zh-CN" w:bidi="hi-IN"/>
          </w:rPr>
          <m:t>σ</m:t>
        </m:r>
        <m:r>
          <w:rPr>
            <w:rFonts w:ascii="Cambria Math" w:eastAsia="SimSun" w:hAnsi="Cambria Math" w:cs="Arial"/>
            <w:color w:val="00000A"/>
            <w:kern w:val="3"/>
            <w:lang w:val="en-US" w:eastAsia="zh-CN" w:bidi="hi-IN"/>
          </w:rPr>
          <m:t>=0</m:t>
        </m:r>
      </m:oMath>
      <w:r w:rsidRPr="00CC115E">
        <w:rPr>
          <w:rFonts w:eastAsia="SimSun" w:cs="Arial"/>
          <w:bCs/>
          <w:iCs/>
          <w:color w:val="00000A"/>
          <w:kern w:val="3"/>
          <w:lang w:val="en-US" w:eastAsia="zh-CN" w:bidi="hi-IN"/>
        </w:rPr>
        <w:t xml:space="preserve"> implies that the person is indifferent between receiving the payoff today or tomorrow. </w:t>
      </w:r>
      <w:r w:rsidRPr="00CC115E">
        <w:rPr>
          <w:rFonts w:eastAsia="SimSun" w:cs="Arial"/>
          <w:color w:val="00000A"/>
          <w:kern w:val="3"/>
          <w:lang w:val="en-US" w:eastAsia="zh-CN" w:bidi="hi-IN"/>
        </w:rPr>
        <w:t>F</w:t>
      </w:r>
      <w:r w:rsidRPr="00CC115E">
        <w:rPr>
          <w:rFonts w:eastAsia="SimSun" w:cs="Arial"/>
          <w:bCs/>
          <w:iCs/>
          <w:color w:val="00000A"/>
          <w:kern w:val="3"/>
          <w:lang w:val="en-US" w:eastAsia="zh-CN" w:bidi="hi-IN"/>
        </w:rPr>
        <w:t xml:space="preserve">or simplicity, we assume that the approximated cost of moving incurs a one-time sunk cost </w:t>
      </w:r>
      <m:oMath>
        <m:r>
          <w:rPr>
            <w:rFonts w:ascii="Cambria Math" w:eastAsia="SimSun" w:hAnsi="Cambria Math" w:cs="Arial"/>
            <w:color w:val="00000A"/>
            <w:kern w:val="3"/>
            <w:lang w:val="en-US" w:eastAsia="zh-CN" w:bidi="hi-IN"/>
          </w:rPr>
          <m:t>I</m:t>
        </m:r>
      </m:oMath>
      <w:r w:rsidRPr="00CC115E">
        <w:rPr>
          <w:rFonts w:eastAsia="SimSun" w:cs="Arial"/>
          <w:bCs/>
          <w:iCs/>
          <w:color w:val="00000A"/>
          <w:kern w:val="3"/>
          <w:lang w:val="en-US" w:eastAsia="zh-CN" w:bidi="hi-IN"/>
        </w:rPr>
        <w:t xml:space="preserve"> for overcoming actual or perceived (e.g., cultural) agency barriers. </w:t>
      </w:r>
      <w:r w:rsidRPr="00CC115E">
        <w:rPr>
          <w:rFonts w:eastAsia="Times New Roman" w:cs="Arial"/>
          <w:bCs/>
          <w:iCs/>
          <w:lang w:val="en-US" w:eastAsia="de-DE"/>
        </w:rPr>
        <w:t>We also propose including a bequest value (</w:t>
      </w:r>
      <m:oMath>
        <m:sSup>
          <m:sSupPr>
            <m:ctrlPr>
              <w:rPr>
                <w:rFonts w:ascii="Cambria Math" w:eastAsia="Times New Roman" w:hAnsi="Cambria Math" w:cs="Arial"/>
                <w:bCs/>
                <w:i/>
                <w:iCs/>
                <w:lang w:val="en-US" w:eastAsia="de-DE"/>
              </w:rPr>
            </m:ctrlPr>
          </m:sSupPr>
          <m:e>
            <m:r>
              <w:rPr>
                <w:rFonts w:ascii="Cambria Math" w:eastAsia="Times New Roman" w:hAnsi="Cambria Math" w:cs="Arial"/>
                <w:lang w:val="en-US" w:eastAsia="de-DE"/>
              </w:rPr>
              <m:t>S</m:t>
            </m:r>
          </m:e>
          <m:sup>
            <m:r>
              <w:rPr>
                <w:rFonts w:ascii="Cambria Math" w:eastAsia="Times New Roman" w:hAnsi="Cambria Math" w:cs="Arial"/>
                <w:lang w:val="en-US" w:eastAsia="de-DE"/>
              </w:rPr>
              <m:t>*</m:t>
            </m:r>
          </m:sup>
        </m:sSup>
      </m:oMath>
      <w:r w:rsidRPr="00CC115E">
        <w:rPr>
          <w:rFonts w:eastAsia="Times New Roman" w:cs="Arial"/>
          <w:bCs/>
          <w:iCs/>
          <w:lang w:val="en-US" w:eastAsia="de-DE"/>
        </w:rPr>
        <w:t xml:space="preserve">) to consider the preference beyond period </w:t>
      </w:r>
      <m:oMath>
        <m:r>
          <w:rPr>
            <w:rFonts w:ascii="Cambria Math" w:eastAsia="Times New Roman" w:hAnsi="Cambria Math" w:cs="Arial"/>
            <w:lang w:val="en-US" w:eastAsia="de-DE"/>
          </w:rPr>
          <m:t>T</m:t>
        </m:r>
      </m:oMath>
      <w:r w:rsidRPr="00CC115E">
        <w:rPr>
          <w:rFonts w:eastAsia="Times New Roman" w:cs="Arial"/>
          <w:lang w:val="en-US" w:eastAsia="de-DE"/>
        </w:rPr>
        <w:t>,</w:t>
      </w:r>
      <w:r w:rsidRPr="00CC115E">
        <w:rPr>
          <w:rFonts w:eastAsia="Times New Roman" w:cs="Arial"/>
          <w:bCs/>
          <w:iCs/>
          <w:lang w:val="en-US" w:eastAsia="de-DE"/>
        </w:rPr>
        <w:t xml:space="preserve"> following </w:t>
      </w:r>
      <w:r w:rsidRPr="00CC115E">
        <w:rPr>
          <w:rFonts w:eastAsia="Times New Roman" w:cs="Arial"/>
          <w:bCs/>
          <w:iCs/>
          <w:lang w:val="en-US" w:eastAsia="de-DE"/>
        </w:rPr>
        <w:fldChar w:fldCharType="begin"/>
      </w:r>
      <w:r w:rsidRPr="00CC115E">
        <w:rPr>
          <w:rFonts w:eastAsia="Times New Roman" w:cs="Arial"/>
          <w:bCs/>
          <w:iCs/>
          <w:lang w:val="en-US" w:eastAsia="de-DE"/>
        </w:rPr>
        <w:instrText xml:space="preserve"> ADDIN EN.CITE &lt;EndNote&gt;&lt;Cite AuthorYear="1"&gt;&lt;Author&gt;Larson&lt;/Author&gt;&lt;Year&gt;1990&lt;/Year&gt;&lt;RecNum&gt;3738&lt;/RecNum&gt;&lt;Suffix&gt;: 253&lt;/Suffix&gt;&lt;DisplayText&gt;Larson and Bromley (1990: 253)&lt;/DisplayText&gt;&lt;record&gt;&lt;rec-number&gt;3738&lt;/rec-number&gt;&lt;foreign-keys&gt;&lt;key app="EN" db-id="2dxvfpd9a9fdpaepptwxvz2e92x9afeatrtv" timestamp="1488449286"&gt;3738&lt;/key&gt;&lt;/foreign-keys&gt;&lt;ref-type name="Journal Article"&gt;17&lt;/ref-type&gt;&lt;contributors&gt;&lt;authors&gt;&lt;author&gt;Larson, Bruce A&lt;/author&gt;&lt;author&gt;Bromley, Daniel W&lt;/author&gt;&lt;/authors&gt;&lt;/contributors&gt;&lt;titles&gt;&lt;title&gt;Property rights, externalities, and resource degradation: Locating the tragedy&lt;/title&gt;&lt;secondary-title&gt;Journal of Development Economics&lt;/secondary-title&gt;&lt;/titles&gt;&lt;periodical&gt;&lt;full-title&gt;Journal of Development Economics&lt;/full-title&gt;&lt;/periodical&gt;&lt;pages&gt;235-262&lt;/pages&gt;&lt;volume&gt;33&lt;/volume&gt;&lt;number&gt;2&lt;/number&gt;&lt;dates&gt;&lt;year&gt;1990&lt;/year&gt;&lt;/dates&gt;&lt;isbn&gt;0304-3878&lt;/isbn&gt;&lt;label&gt;254&lt;/label&gt;&lt;urls&gt;&lt;/urls&gt;&lt;/record&gt;&lt;/Cite&gt;&lt;/EndNote&gt;</w:instrText>
      </w:r>
      <w:r w:rsidRPr="00CC115E">
        <w:rPr>
          <w:rFonts w:eastAsia="Times New Roman" w:cs="Arial"/>
          <w:bCs/>
          <w:iCs/>
          <w:lang w:val="en-US" w:eastAsia="de-DE"/>
        </w:rPr>
        <w:fldChar w:fldCharType="separate"/>
      </w:r>
      <w:r w:rsidRPr="00CC115E">
        <w:rPr>
          <w:rFonts w:eastAsia="Times New Roman" w:cs="Arial"/>
          <w:bCs/>
          <w:iCs/>
          <w:noProof/>
          <w:lang w:val="en-US" w:eastAsia="de-DE"/>
        </w:rPr>
        <w:t>Larson and Bromley (1990: 253)</w:t>
      </w:r>
      <w:r w:rsidRPr="00CC115E">
        <w:rPr>
          <w:rFonts w:eastAsia="Times New Roman" w:cs="Arial"/>
          <w:bCs/>
          <w:iCs/>
          <w:lang w:val="en-US" w:eastAsia="de-DE"/>
        </w:rPr>
        <w:fldChar w:fldCharType="end"/>
      </w:r>
      <w:r w:rsidRPr="00CC115E">
        <w:rPr>
          <w:rFonts w:eastAsia="Times New Roman" w:cs="Arial"/>
          <w:bCs/>
          <w:iCs/>
          <w:lang w:val="en-US" w:eastAsia="de-DE"/>
        </w:rPr>
        <w:t>.</w:t>
      </w:r>
    </w:p>
    <w:p w:rsidR="00CC115E" w:rsidRPr="00CC115E" w:rsidRDefault="00CC115E" w:rsidP="003A7850">
      <w:pPr>
        <w:rPr>
          <w:lang w:val="en-US"/>
        </w:rPr>
      </w:pPr>
    </w:p>
    <w:p w:rsidR="00CC115E" w:rsidRPr="00CC115E" w:rsidRDefault="00CC115E" w:rsidP="003A7850">
      <w:pPr>
        <w:rPr>
          <w:b/>
          <w:i/>
          <w:lang w:val="en-US"/>
        </w:rPr>
      </w:pPr>
      <w:r w:rsidRPr="00CC115E">
        <w:rPr>
          <w:b/>
          <w:i/>
          <w:lang w:val="en-US"/>
        </w:rPr>
        <w:t>Reference list:</w:t>
      </w:r>
    </w:p>
    <w:p w:rsidR="00CC115E" w:rsidRPr="00CC115E" w:rsidRDefault="00CC115E" w:rsidP="00CC115E">
      <w:pPr>
        <w:pStyle w:val="EndNoteBibliography"/>
        <w:spacing w:after="0"/>
        <w:ind w:left="720" w:hanging="720"/>
      </w:pPr>
      <w:r w:rsidRPr="00CC115E">
        <w:fldChar w:fldCharType="begin"/>
      </w:r>
      <w:r w:rsidRPr="00CC115E">
        <w:instrText xml:space="preserve"> ADDIN EN.REFLIST </w:instrText>
      </w:r>
      <w:r w:rsidRPr="00CC115E">
        <w:fldChar w:fldCharType="separate"/>
      </w:r>
      <w:r w:rsidRPr="00CC115E">
        <w:t xml:space="preserve">Czaika, M. (2015). Migration and economic prospects. </w:t>
      </w:r>
      <w:r w:rsidRPr="00CC115E">
        <w:rPr>
          <w:i/>
        </w:rPr>
        <w:t>Journal of Ethnic and Migration Studies, 41</w:t>
      </w:r>
      <w:r w:rsidRPr="00CC115E">
        <w:t>, 58-82.</w:t>
      </w:r>
    </w:p>
    <w:p w:rsidR="00CC115E" w:rsidRPr="00CC115E" w:rsidRDefault="00CC115E" w:rsidP="00CC115E">
      <w:pPr>
        <w:pStyle w:val="EndNoteBibliography"/>
        <w:spacing w:after="0"/>
        <w:ind w:left="720" w:hanging="720"/>
      </w:pPr>
      <w:r w:rsidRPr="00CC115E">
        <w:t xml:space="preserve">Dustmann, C., &amp; Görlach, J.-S. (2016). The economics of temporary migrations. </w:t>
      </w:r>
      <w:r w:rsidRPr="00CC115E">
        <w:rPr>
          <w:i/>
        </w:rPr>
        <w:t>Journal of Economic Literature, 54</w:t>
      </w:r>
      <w:r w:rsidRPr="00CC115E">
        <w:t>, 98-136.</w:t>
      </w:r>
    </w:p>
    <w:p w:rsidR="00CC115E" w:rsidRPr="00CC115E" w:rsidRDefault="00CC115E" w:rsidP="00CC115E">
      <w:pPr>
        <w:pStyle w:val="EndNoteBibliography"/>
        <w:spacing w:after="0"/>
        <w:ind w:left="720" w:hanging="720"/>
      </w:pPr>
      <w:r w:rsidRPr="00CC115E">
        <w:t xml:space="preserve">Esser, H. (1991). </w:t>
      </w:r>
      <w:r w:rsidRPr="00CC115E">
        <w:rPr>
          <w:i/>
        </w:rPr>
        <w:t>Alltagshandeln und Verstehen: Zum Verhältnis von erklärender und verstehender Soziologie am Beispiel von Alfred Schütz und "Rational Choice"</w:t>
      </w:r>
      <w:r w:rsidRPr="00CC115E">
        <w:t>. Tübingen, Germany: J.C.B. Mohr.</w:t>
      </w:r>
    </w:p>
    <w:p w:rsidR="00CC115E" w:rsidRPr="00CC115E" w:rsidRDefault="00CC115E" w:rsidP="00CC115E">
      <w:pPr>
        <w:pStyle w:val="EndNoteBibliography"/>
        <w:spacing w:after="0"/>
        <w:ind w:left="720" w:hanging="720"/>
      </w:pPr>
      <w:r w:rsidRPr="00CC115E">
        <w:t xml:space="preserve">Fischer, P. A., Martin, R., &amp; Straubhaar, T. (1997). Should I stay or should I go. In T. Hamar, G. Brochmann, K. Tamas &amp; T. Faist (Eds.), </w:t>
      </w:r>
      <w:r w:rsidRPr="00CC115E">
        <w:rPr>
          <w:i/>
        </w:rPr>
        <w:t>International migration, immobility and development</w:t>
      </w:r>
      <w:r w:rsidRPr="00CC115E">
        <w:t xml:space="preserve"> (pp. 49-90). New York, USA: Oxford.</w:t>
      </w:r>
    </w:p>
    <w:p w:rsidR="00CC115E" w:rsidRPr="00CC115E" w:rsidRDefault="00CC115E" w:rsidP="00CC115E">
      <w:pPr>
        <w:pStyle w:val="EndNoteBibliography"/>
        <w:spacing w:after="0"/>
        <w:ind w:left="720" w:hanging="720"/>
      </w:pPr>
      <w:r w:rsidRPr="00CC115E">
        <w:t xml:space="preserve">Haartsen, T., &amp; Thissen, F. (2014). The success–failure dichotomy revisited: Young adults' motives to return to their rural home region. </w:t>
      </w:r>
      <w:r w:rsidRPr="00CC115E">
        <w:rPr>
          <w:i/>
        </w:rPr>
        <w:t>Children's Geographies, 12</w:t>
      </w:r>
      <w:r w:rsidRPr="00CC115E">
        <w:t>, 87-101.</w:t>
      </w:r>
    </w:p>
    <w:p w:rsidR="00CC115E" w:rsidRPr="00CC115E" w:rsidRDefault="00CC115E" w:rsidP="00CC115E">
      <w:pPr>
        <w:pStyle w:val="EndNoteBibliography"/>
        <w:spacing w:after="0"/>
        <w:ind w:left="720" w:hanging="720"/>
      </w:pPr>
      <w:r w:rsidRPr="00CC115E">
        <w:t xml:space="preserve">Kalter, F. (1997). </w:t>
      </w:r>
      <w:r w:rsidRPr="00CC115E">
        <w:rPr>
          <w:i/>
        </w:rPr>
        <w:t>Wohnortwechsel in Deutschland</w:t>
      </w:r>
      <w:r w:rsidRPr="00CC115E">
        <w:t>. Opladen, Germany: Springer.</w:t>
      </w:r>
    </w:p>
    <w:p w:rsidR="00CC115E" w:rsidRPr="00CC115E" w:rsidRDefault="00CC115E" w:rsidP="00CC115E">
      <w:pPr>
        <w:pStyle w:val="EndNoteBibliography"/>
        <w:spacing w:after="0"/>
        <w:ind w:left="720" w:hanging="720"/>
      </w:pPr>
      <w:r w:rsidRPr="00CC115E">
        <w:t xml:space="preserve">Larson, B. A., &amp; Bromley, D. W. (1990). Property rights, externalities, and resource degradation: Locating the tragedy. </w:t>
      </w:r>
      <w:r w:rsidRPr="00CC115E">
        <w:rPr>
          <w:i/>
        </w:rPr>
        <w:t>Journal of Development Economics, 33</w:t>
      </w:r>
      <w:r w:rsidRPr="00CC115E">
        <w:t>, 235-262.</w:t>
      </w:r>
    </w:p>
    <w:p w:rsidR="00CC115E" w:rsidRPr="00CC115E" w:rsidRDefault="00CC115E" w:rsidP="00CC115E">
      <w:pPr>
        <w:pStyle w:val="EndNoteBibliography"/>
        <w:spacing w:after="0"/>
        <w:ind w:left="720" w:hanging="720"/>
      </w:pPr>
      <w:r w:rsidRPr="00CC115E">
        <w:t xml:space="preserve">Lindenberg, S. (1985). An assessment of the new political economy: Its potential for the social sciences and for sociology in particular. </w:t>
      </w:r>
      <w:r w:rsidRPr="00CC115E">
        <w:rPr>
          <w:i/>
        </w:rPr>
        <w:t>Sociological Theory, 3</w:t>
      </w:r>
      <w:r w:rsidRPr="00CC115E">
        <w:t>, 99-114.</w:t>
      </w:r>
    </w:p>
    <w:p w:rsidR="00CC115E" w:rsidRPr="00CC115E" w:rsidRDefault="00CC115E" w:rsidP="00CC115E">
      <w:pPr>
        <w:pStyle w:val="EndNoteBibliography"/>
        <w:spacing w:after="0"/>
        <w:ind w:left="720" w:hanging="720"/>
      </w:pPr>
      <w:r w:rsidRPr="00CC115E">
        <w:t xml:space="preserve">McKenzie, D., Gibson, J., &amp; Stillman, S. (2013). A land of milk and honey with streets paved with gold: Do emigrants have over-optimistic expectations about incomes abroad? </w:t>
      </w:r>
      <w:r w:rsidRPr="00CC115E">
        <w:rPr>
          <w:i/>
        </w:rPr>
        <w:t>Journal of Development Economics, 102</w:t>
      </w:r>
      <w:r w:rsidRPr="00CC115E">
        <w:t>, 116-127.</w:t>
      </w:r>
    </w:p>
    <w:p w:rsidR="00CC115E" w:rsidRPr="00CC115E" w:rsidRDefault="00CC115E" w:rsidP="00CC115E">
      <w:pPr>
        <w:pStyle w:val="EndNoteBibliography"/>
        <w:spacing w:after="0"/>
        <w:ind w:left="720" w:hanging="720"/>
      </w:pPr>
      <w:r w:rsidRPr="00CC115E">
        <w:t xml:space="preserve">Posner, R. A. (1997). Rational choice, behavioral economics, and the law. </w:t>
      </w:r>
      <w:r w:rsidRPr="00CC115E">
        <w:rPr>
          <w:i/>
        </w:rPr>
        <w:t>Stanford Law Review, 50</w:t>
      </w:r>
      <w:r w:rsidRPr="00CC115E">
        <w:t>, 1551-1575.</w:t>
      </w:r>
    </w:p>
    <w:p w:rsidR="00CC115E" w:rsidRPr="00CC115E" w:rsidRDefault="00CC115E" w:rsidP="00CC115E">
      <w:pPr>
        <w:pStyle w:val="EndNoteBibliography"/>
        <w:spacing w:after="0"/>
        <w:ind w:left="720" w:hanging="720"/>
      </w:pPr>
      <w:r w:rsidRPr="00CC115E">
        <w:t xml:space="preserve">Stark, O., &amp; Bloom, D. E. (1985). The new economics of labor migration. </w:t>
      </w:r>
      <w:r w:rsidRPr="00CC115E">
        <w:rPr>
          <w:i/>
        </w:rPr>
        <w:t>The American Economic Review, 75</w:t>
      </w:r>
      <w:r w:rsidRPr="00CC115E">
        <w:t>, 173-178.</w:t>
      </w:r>
    </w:p>
    <w:p w:rsidR="00CC115E" w:rsidRPr="00CC115E" w:rsidRDefault="00CC115E" w:rsidP="00CC115E">
      <w:pPr>
        <w:pStyle w:val="EndNoteBibliography"/>
        <w:ind w:left="720" w:hanging="720"/>
      </w:pPr>
      <w:r w:rsidRPr="00CC115E">
        <w:t xml:space="preserve">Todaro, M. P. (1969). A model of labor migration and urban unemployment in less developed countries. </w:t>
      </w:r>
      <w:r w:rsidRPr="00CC115E">
        <w:rPr>
          <w:i/>
        </w:rPr>
        <w:t>American Economic Review, 59</w:t>
      </w:r>
      <w:r w:rsidRPr="00CC115E">
        <w:t>, 138-148.</w:t>
      </w:r>
    </w:p>
    <w:p w:rsidR="003A7850" w:rsidRPr="00C536AC" w:rsidRDefault="00CC115E" w:rsidP="003A7850">
      <w:pPr>
        <w:rPr>
          <w:lang w:val="en-US"/>
        </w:rPr>
      </w:pPr>
      <w:r w:rsidRPr="00CC115E">
        <w:rPr>
          <w:lang w:val="en-US"/>
        </w:rPr>
        <w:fldChar w:fldCharType="end"/>
      </w:r>
    </w:p>
    <w:sectPr w:rsidR="003A7850" w:rsidRPr="00C536A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291" w:rsidRDefault="00716291" w:rsidP="003A7850">
      <w:pPr>
        <w:spacing w:after="0" w:line="240" w:lineRule="auto"/>
      </w:pPr>
      <w:r>
        <w:separator/>
      </w:r>
    </w:p>
  </w:endnote>
  <w:endnote w:type="continuationSeparator" w:id="0">
    <w:p w:rsidR="00716291" w:rsidRDefault="00716291" w:rsidP="003A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291" w:rsidRDefault="00716291" w:rsidP="003A7850">
      <w:pPr>
        <w:spacing w:after="0" w:line="240" w:lineRule="auto"/>
      </w:pPr>
      <w:r>
        <w:separator/>
      </w:r>
    </w:p>
  </w:footnote>
  <w:footnote w:type="continuationSeparator" w:id="0">
    <w:p w:rsidR="00716291" w:rsidRDefault="00716291" w:rsidP="003A7850">
      <w:pPr>
        <w:spacing w:after="0" w:line="240" w:lineRule="auto"/>
      </w:pPr>
      <w:r>
        <w:continuationSeparator/>
      </w:r>
    </w:p>
  </w:footnote>
  <w:footnote w:id="1">
    <w:p w:rsidR="003A7850" w:rsidRPr="00C536AC" w:rsidRDefault="003A7850" w:rsidP="003A7850">
      <w:pPr>
        <w:pStyle w:val="Funotentext"/>
        <w:rPr>
          <w:lang w:val="en-US"/>
        </w:rPr>
      </w:pPr>
      <w:r w:rsidRPr="00C536AC">
        <w:rPr>
          <w:rStyle w:val="Funotenzeichen"/>
          <w:lang w:val="en-US"/>
        </w:rPr>
        <w:footnoteRef/>
      </w:r>
      <w:r w:rsidRPr="00C536AC">
        <w:rPr>
          <w:lang w:val="en-US"/>
        </w:rPr>
        <w:t xml:space="preserve"> </w:t>
      </w:r>
      <w:r w:rsidRPr="00C536AC">
        <w:rPr>
          <w:rFonts w:eastAsia="SimSun" w:cs="Arial"/>
          <w:iCs/>
          <w:color w:val="00000A"/>
          <w:kern w:val="3"/>
          <w:lang w:val="en-US" w:eastAsia="zh-CN" w:bidi="hi-IN"/>
        </w:rPr>
        <w:t xml:space="preserve">Our SEU model is inspired by the works of many, particularly of Esser </w:t>
      </w:r>
      <w:r w:rsidRPr="00C536AC">
        <w:rPr>
          <w:rFonts w:eastAsia="SimSun" w:cs="Arial"/>
          <w:iCs/>
          <w:color w:val="00000A"/>
          <w:kern w:val="3"/>
          <w:lang w:val="en-US" w:eastAsia="zh-CN" w:bidi="hi-IN"/>
        </w:rPr>
        <w:fldChar w:fldCharType="begin"/>
      </w:r>
      <w:r w:rsidRPr="00C536AC">
        <w:rPr>
          <w:rFonts w:eastAsia="SimSun" w:cs="Arial"/>
          <w:iCs/>
          <w:color w:val="00000A"/>
          <w:kern w:val="3"/>
          <w:lang w:val="en-US" w:eastAsia="zh-CN" w:bidi="hi-IN"/>
        </w:rPr>
        <w:instrText xml:space="preserve"> ADDIN EN.CITE &lt;EndNote&gt;&lt;Cite ExcludeAuth="1"&gt;&lt;Author&gt;Esser&lt;/Author&gt;&lt;Year&gt;1991&lt;/Year&gt;&lt;RecNum&gt;3736&lt;/RecNum&gt;&lt;Suffix&gt;: 66ff&lt;/Suffix&gt;&lt;DisplayText&gt;(1991: 66ff)&lt;/DisplayText&gt;&lt;record&gt;&lt;rec-number&gt;3736&lt;/rec-number&gt;&lt;foreign-keys&gt;&lt;key app="EN" db-id="2dxvfpd9a9fdpaepptwxvz2e92x9afeatrtv" timestamp="1487690334"&gt;3736&lt;/key&gt;&lt;/foreign-keys&gt;&lt;ref-type name="Book"&gt;6&lt;/ref-type&gt;&lt;contributors&gt;&lt;authors&gt;&lt;author&gt;Esser, Hartmut&lt;/author&gt;&lt;/authors&gt;&lt;/contributors&gt;&lt;titles&gt;&lt;title&gt;Alltagshandeln und Verstehen: Zum Verhältnis von erklärender und verstehender Soziologie am Beispiel von Alfred Schütz und &amp;quot;Rational Choice&amp;quot;&lt;/title&gt;&lt;/titles&gt;&lt;dates&gt;&lt;year&gt;1991&lt;/year&gt;&lt;/dates&gt;&lt;pub-location&gt;Tübingen, Germany&lt;/pub-location&gt;&lt;publisher&gt;J.C.B. Mohr&lt;/publisher&gt;&lt;isbn&gt;3161458346&lt;/isbn&gt;&lt;label&gt;253&lt;/label&gt;&lt;urls&gt;&lt;/urls&gt;&lt;/record&gt;&lt;/Cite&gt;&lt;/EndNote&gt;</w:instrText>
      </w:r>
      <w:r w:rsidRPr="00C536AC">
        <w:rPr>
          <w:rFonts w:eastAsia="SimSun" w:cs="Arial"/>
          <w:iCs/>
          <w:color w:val="00000A"/>
          <w:kern w:val="3"/>
          <w:lang w:val="en-US" w:eastAsia="zh-CN" w:bidi="hi-IN"/>
        </w:rPr>
        <w:fldChar w:fldCharType="separate"/>
      </w:r>
      <w:r w:rsidRPr="00C536AC">
        <w:rPr>
          <w:rFonts w:eastAsia="SimSun" w:cs="Arial"/>
          <w:iCs/>
          <w:noProof/>
          <w:color w:val="00000A"/>
          <w:kern w:val="3"/>
          <w:lang w:val="en-US" w:eastAsia="zh-CN" w:bidi="hi-IN"/>
        </w:rPr>
        <w:t>(1991: 66ff)</w:t>
      </w:r>
      <w:r w:rsidRPr="00C536AC">
        <w:rPr>
          <w:rFonts w:eastAsia="SimSun" w:cs="Arial"/>
          <w:iCs/>
          <w:color w:val="00000A"/>
          <w:kern w:val="3"/>
          <w:lang w:val="en-US" w:eastAsia="zh-CN" w:bidi="hi-IN"/>
        </w:rPr>
        <w:fldChar w:fldCharType="end"/>
      </w:r>
      <w:r w:rsidRPr="00C536AC">
        <w:rPr>
          <w:rFonts w:eastAsia="SimSun" w:cs="Arial"/>
          <w:iCs/>
          <w:color w:val="00000A"/>
          <w:kern w:val="3"/>
          <w:lang w:val="en-US" w:eastAsia="zh-CN" w:bidi="hi-IN"/>
        </w:rPr>
        <w:t xml:space="preserve">, Fischer, Martin and Straubhaar </w:t>
      </w:r>
      <w:r w:rsidRPr="00C536AC">
        <w:rPr>
          <w:rFonts w:eastAsia="SimSun" w:cs="Arial"/>
          <w:iCs/>
          <w:color w:val="00000A"/>
          <w:kern w:val="3"/>
          <w:lang w:val="en-US" w:eastAsia="zh-CN" w:bidi="hi-IN"/>
        </w:rPr>
        <w:fldChar w:fldCharType="begin"/>
      </w:r>
      <w:r w:rsidR="00CC115E">
        <w:rPr>
          <w:rFonts w:eastAsia="SimSun" w:cs="Arial"/>
          <w:iCs/>
          <w:color w:val="00000A"/>
          <w:kern w:val="3"/>
          <w:lang w:val="en-US" w:eastAsia="zh-CN" w:bidi="hi-IN"/>
        </w:rPr>
        <w:instrText xml:space="preserve"> ADDIN EN.CITE &lt;EndNote&gt;&lt;Cite ExcludeAuth="1"&gt;&lt;Author&gt;Fischer&lt;/Author&gt;&lt;Year&gt;1997&lt;/Year&gt;&lt;RecNum&gt;1505&lt;/RecNum&gt;&lt;Suffix&gt;: 57ff&lt;/Suffix&gt;&lt;DisplayText&gt;(1997: 57ff)&lt;/DisplayText&gt;&lt;record&gt;&lt;rec-number&gt;1505&lt;/rec-number&gt;&lt;foreign-keys&gt;&lt;key app="EN" db-id="2dxvfpd9a9fdpaepptwxvz2e92x9afeatrtv" timestamp="1440156165"&gt;1505&lt;/key&gt;&lt;/foreign-keys&gt;&lt;ref-type name="Book Section"&gt;5&lt;/ref-type&gt;&lt;contributors&gt;&lt;authors&gt;&lt;author&gt;Fischer, Peter A.&lt;/author&gt;&lt;author&gt;Martin, Reiner&lt;/author&gt;&lt;author&gt;Straubhaar, Thomas&lt;/author&gt;&lt;/authors&gt;&lt;secondary-authors&gt;&lt;author&gt;Hamar, Tomas&lt;/author&gt;&lt;author&gt;Brochmann, Grete&lt;/author&gt;&lt;author&gt;Tamas, Kristof&lt;/author&gt;&lt;author&gt;Faist, Thomas&lt;/author&gt;&lt;/secondary-authors&gt;&lt;/contributors&gt;&lt;titles&gt;&lt;title&gt;Should I stay or should I go&lt;/title&gt;&lt;secondary-title&gt;International migration, immobility and development&lt;/secondary-title&gt;&lt;/titles&gt;&lt;pages&gt;49-90&lt;/pages&gt;&lt;keywords&gt;&lt;keyword&gt;migration&lt;/keyword&gt;&lt;/keywords&gt;&lt;dates&gt;&lt;year&gt;1997&lt;/year&gt;&lt;pub-dates&gt;&lt;date&gt;1997&lt;/date&gt;&lt;/pub-dates&gt;&lt;/dates&gt;&lt;pub-location&gt;New York, USA&lt;/pub-location&gt;&lt;publisher&gt;Oxford&lt;/publisher&gt;&lt;label&gt;84&lt;/label&gt;&lt;urls&gt;&lt;/urls&gt;&lt;/record&gt;&lt;/Cite&gt;&lt;/EndNote&gt;</w:instrText>
      </w:r>
      <w:r w:rsidRPr="00C536AC">
        <w:rPr>
          <w:rFonts w:eastAsia="SimSun" w:cs="Arial"/>
          <w:iCs/>
          <w:color w:val="00000A"/>
          <w:kern w:val="3"/>
          <w:lang w:val="en-US" w:eastAsia="zh-CN" w:bidi="hi-IN"/>
        </w:rPr>
        <w:fldChar w:fldCharType="separate"/>
      </w:r>
      <w:r w:rsidRPr="00C536AC">
        <w:rPr>
          <w:rFonts w:eastAsia="SimSun" w:cs="Arial"/>
          <w:iCs/>
          <w:noProof/>
          <w:color w:val="00000A"/>
          <w:kern w:val="3"/>
          <w:lang w:val="en-US" w:eastAsia="zh-CN" w:bidi="hi-IN"/>
        </w:rPr>
        <w:t>(1997: 57ff)</w:t>
      </w:r>
      <w:r w:rsidRPr="00C536AC">
        <w:rPr>
          <w:rFonts w:eastAsia="SimSun" w:cs="Arial"/>
          <w:iCs/>
          <w:color w:val="00000A"/>
          <w:kern w:val="3"/>
          <w:lang w:val="en-US" w:eastAsia="zh-CN" w:bidi="hi-IN"/>
        </w:rPr>
        <w:fldChar w:fldCharType="end"/>
      </w:r>
      <w:r w:rsidRPr="00C536AC">
        <w:rPr>
          <w:rFonts w:eastAsia="SimSun" w:cs="Arial"/>
          <w:iCs/>
          <w:color w:val="00000A"/>
          <w:kern w:val="3"/>
          <w:lang w:val="en-US" w:eastAsia="zh-CN" w:bidi="hi-IN"/>
        </w:rPr>
        <w:t xml:space="preserve">, Kalter </w:t>
      </w:r>
      <w:r w:rsidRPr="00C536AC">
        <w:rPr>
          <w:rFonts w:eastAsia="SimSun" w:cs="Arial"/>
          <w:iCs/>
          <w:color w:val="00000A"/>
          <w:kern w:val="3"/>
          <w:lang w:val="en-US" w:eastAsia="zh-CN" w:bidi="hi-IN"/>
        </w:rPr>
        <w:fldChar w:fldCharType="begin"/>
      </w:r>
      <w:r w:rsidRPr="00C536AC">
        <w:rPr>
          <w:rFonts w:eastAsia="SimSun" w:cs="Arial"/>
          <w:iCs/>
          <w:color w:val="00000A"/>
          <w:kern w:val="3"/>
          <w:lang w:val="en-US" w:eastAsia="zh-CN" w:bidi="hi-IN"/>
        </w:rPr>
        <w:instrText xml:space="preserve"> ADDIN EN.CITE &lt;EndNote&gt;&lt;Cite ExcludeAuth="1"&gt;&lt;Author&gt;Kalter&lt;/Author&gt;&lt;Year&gt;1997&lt;/Year&gt;&lt;RecNum&gt;3704&lt;/RecNum&gt;&lt;Suffix&gt;: 47`, 56`, 76ff&lt;/Suffix&gt;&lt;DisplayText&gt;(1997: 47, 56, 76ff)&lt;/DisplayText&gt;&lt;record&gt;&lt;rec-number&gt;3704&lt;/rec-number&gt;&lt;foreign-keys&gt;&lt;key app="EN" db-id="2dxvfpd9a9fdpaepptwxvz2e92x9afeatrtv" timestamp="1483956466"&gt;3704&lt;/key&gt;&lt;/foreign-keys&gt;&lt;ref-type name="Book"&gt;6&lt;/ref-type&gt;&lt;contributors&gt;&lt;authors&gt;&lt;author&gt;Kalter, Frank&lt;/author&gt;&lt;/authors&gt;&lt;/contributors&gt;&lt;titles&gt;&lt;title&gt;Wohnortwechsel in Deutschland&lt;/title&gt;&lt;/titles&gt;&lt;dates&gt;&lt;year&gt;1997&lt;/year&gt;&lt;/dates&gt;&lt;pub-location&gt;Opladen, Germany&lt;/pub-location&gt;&lt;publisher&gt;Springer&lt;/publisher&gt;&lt;isbn&gt;3663118878&lt;/isbn&gt;&lt;label&gt;235&lt;/label&gt;&lt;urls&gt;&lt;/urls&gt;&lt;/record&gt;&lt;/Cite&gt;&lt;/EndNote&gt;</w:instrText>
      </w:r>
      <w:r w:rsidRPr="00C536AC">
        <w:rPr>
          <w:rFonts w:eastAsia="SimSun" w:cs="Arial"/>
          <w:iCs/>
          <w:color w:val="00000A"/>
          <w:kern w:val="3"/>
          <w:lang w:val="en-US" w:eastAsia="zh-CN" w:bidi="hi-IN"/>
        </w:rPr>
        <w:fldChar w:fldCharType="separate"/>
      </w:r>
      <w:r w:rsidRPr="00C536AC">
        <w:rPr>
          <w:rFonts w:eastAsia="SimSun" w:cs="Arial"/>
          <w:iCs/>
          <w:noProof/>
          <w:color w:val="00000A"/>
          <w:kern w:val="3"/>
          <w:lang w:val="en-US" w:eastAsia="zh-CN" w:bidi="hi-IN"/>
        </w:rPr>
        <w:t>(1997: 47, 56, 76ff)</w:t>
      </w:r>
      <w:r w:rsidRPr="00C536AC">
        <w:rPr>
          <w:rFonts w:eastAsia="SimSun" w:cs="Arial"/>
          <w:iCs/>
          <w:color w:val="00000A"/>
          <w:kern w:val="3"/>
          <w:lang w:val="en-US" w:eastAsia="zh-CN" w:bidi="hi-IN"/>
        </w:rPr>
        <w:fldChar w:fldCharType="end"/>
      </w:r>
      <w:r w:rsidRPr="00C536AC">
        <w:rPr>
          <w:rFonts w:eastAsia="SimSun" w:cs="Arial"/>
          <w:iCs/>
          <w:color w:val="00000A"/>
          <w:kern w:val="3"/>
          <w:lang w:val="en-US" w:eastAsia="zh-CN" w:bidi="hi-IN"/>
        </w:rPr>
        <w:t xml:space="preserve">, and </w:t>
      </w:r>
      <w:r w:rsidRPr="00C536AC">
        <w:rPr>
          <w:rFonts w:eastAsia="SimSun" w:cs="Arial"/>
          <w:color w:val="00000A"/>
          <w:kern w:val="3"/>
          <w:lang w:val="en-US" w:eastAsia="zh-CN" w:bidi="hi-IN"/>
        </w:rPr>
        <w:t xml:space="preserve">McKenzie et al. </w:t>
      </w:r>
      <w:r w:rsidRPr="00C536AC">
        <w:rPr>
          <w:rFonts w:eastAsia="SimSun" w:cs="Arial"/>
          <w:color w:val="00000A"/>
          <w:kern w:val="3"/>
          <w:lang w:val="en-US" w:eastAsia="zh-CN" w:bidi="hi-IN"/>
        </w:rPr>
        <w:fldChar w:fldCharType="begin"/>
      </w:r>
      <w:r w:rsidRPr="00C536AC">
        <w:rPr>
          <w:rFonts w:eastAsia="SimSun" w:cs="Arial"/>
          <w:color w:val="00000A"/>
          <w:kern w:val="3"/>
          <w:lang w:val="en-US" w:eastAsia="zh-CN" w:bidi="hi-IN"/>
        </w:rPr>
        <w:instrText xml:space="preserve"> ADDIN EN.CITE &lt;EndNote&gt;&lt;Cite ExcludeAuth="1"&gt;&lt;Author&gt;McKenzie&lt;/Author&gt;&lt;Year&gt;2013&lt;/Year&gt;&lt;RecNum&gt;2267&lt;/RecNum&gt;&lt;Suffix&gt;: 117`, 119ff&lt;/Suffix&gt;&lt;DisplayText&gt;(2013: 117, 119ff)&lt;/DisplayText&gt;&lt;record&gt;&lt;rec-number&gt;2267&lt;/rec-number&gt;&lt;foreign-keys&gt;&lt;key app="EN" db-id="2dxvfpd9a9fdpaepptwxvz2e92x9afeatrtv" timestamp="1440157540"&gt;2267&lt;/key&gt;&lt;/foreign-keys&gt;&lt;ref-type name="Journal Article"&gt;17&lt;/ref-type&gt;&lt;contributors&gt;&lt;authors&gt;&lt;author&gt;McKenzie, David&lt;/author&gt;&lt;author&gt;Gibson, John&lt;/author&gt;&lt;author&gt;Stillman, Steven&lt;/author&gt;&lt;/authors&gt;&lt;/contributors&gt;&lt;titles&gt;&lt;title&gt;A land of milk and honey with streets paved with gold: Do emigrants have over-optimistic expectations about incomes abroad?&lt;/title&gt;&lt;secondary-title&gt;Journal of Development Economics&lt;/secondary-title&gt;&lt;/titles&gt;&lt;periodical&gt;&lt;full-title&gt;Journal of Development Economics&lt;/full-title&gt;&lt;/periodical&gt;&lt;pages&gt;116-127&lt;/pages&gt;&lt;volume&gt;102&lt;/volume&gt;&lt;number&gt;May&lt;/number&gt;&lt;reprint-edition&gt;Not in File&lt;/reprint-edition&gt;&lt;keywords&gt;&lt;keyword&gt;expectations&lt;/keyword&gt;&lt;keyword&gt;migrants&lt;/keyword&gt;&lt;/keywords&gt;&lt;dates&gt;&lt;year&gt;2013&lt;/year&gt;&lt;pub-dates&gt;&lt;date&gt;2013&lt;/date&gt;&lt;/pub-dates&gt;&lt;/dates&gt;&lt;isbn&gt;0304-3878&lt;/isbn&gt;&lt;label&gt;18&lt;/label&gt;&lt;urls&gt;&lt;/urls&gt;&lt;/record&gt;&lt;/Cite&gt;&lt;/EndNote&gt;</w:instrText>
      </w:r>
      <w:r w:rsidRPr="00C536AC">
        <w:rPr>
          <w:rFonts w:eastAsia="SimSun" w:cs="Arial"/>
          <w:color w:val="00000A"/>
          <w:kern w:val="3"/>
          <w:lang w:val="en-US" w:eastAsia="zh-CN" w:bidi="hi-IN"/>
        </w:rPr>
        <w:fldChar w:fldCharType="separate"/>
      </w:r>
      <w:r w:rsidRPr="00C536AC">
        <w:rPr>
          <w:rFonts w:eastAsia="SimSun" w:cs="Arial"/>
          <w:noProof/>
          <w:color w:val="00000A"/>
          <w:kern w:val="3"/>
          <w:lang w:val="en-US" w:eastAsia="zh-CN" w:bidi="hi-IN"/>
        </w:rPr>
        <w:t>(2013: 117, 119ff)</w:t>
      </w:r>
      <w:r w:rsidRPr="00C536AC">
        <w:rPr>
          <w:rFonts w:eastAsia="SimSun" w:cs="Arial"/>
          <w:color w:val="00000A"/>
          <w:kern w:val="3"/>
          <w:lang w:val="en-US" w:eastAsia="zh-CN" w:bidi="hi-IN"/>
        </w:rPr>
        <w:fldChar w:fldCharType="end"/>
      </w:r>
      <w:r w:rsidRPr="00C536AC">
        <w:rPr>
          <w:rFonts w:eastAsia="SimSun" w:cs="Arial"/>
          <w:iCs/>
          <w:color w:val="00000A"/>
          <w:kern w:val="3"/>
          <w:lang w:val="en-US" w:eastAsia="zh-CN" w:bidi="hi-IN"/>
        </w:rPr>
        <w:t xml:space="preserve">. </w:t>
      </w:r>
      <w:r w:rsidRPr="00C536AC">
        <w:rPr>
          <w:lang w:val="en-US"/>
        </w:rPr>
        <w:t xml:space="preserve">Of course, the ‘classic’ micro-economic models of migration by renowned scholars such as Todaro </w:t>
      </w:r>
      <w:r w:rsidRPr="00C536AC">
        <w:rPr>
          <w:lang w:val="en-US"/>
        </w:rPr>
        <w:fldChar w:fldCharType="begin"/>
      </w:r>
      <w:r w:rsidRPr="00C536AC">
        <w:rPr>
          <w:lang w:val="en-US"/>
        </w:rPr>
        <w:instrText xml:space="preserve"> ADDIN EN.CITE &lt;EndNote&gt;&lt;Cite ExcludeAuth="1"&gt;&lt;Author&gt;Todaro&lt;/Author&gt;&lt;Year&gt;1969&lt;/Year&gt;&lt;RecNum&gt;2311&lt;/RecNum&gt;&lt;DisplayText&gt;(1969)&lt;/DisplayText&gt;&lt;record&gt;&lt;rec-number&gt;2311&lt;/rec-number&gt;&lt;foreign-keys&gt;&lt;key app="EN" db-id="2dxvfpd9a9fdpaepptwxvz2e92x9afeatrtv" timestamp="1440157541"&gt;2311&lt;/key&gt;&lt;/foreign-keys&gt;&lt;ref-type name="Journal Article"&gt;17&lt;/ref-type&gt;&lt;contributors&gt;&lt;authors&gt;&lt;author&gt;Todaro, Michael P.&lt;/author&gt;&lt;/authors&gt;&lt;/contributors&gt;&lt;titles&gt;&lt;title&gt;A model of labor migration and urban unemployment in less developed countries&lt;/title&gt;&lt;secondary-title&gt;American Economic Review&lt;/secondary-title&gt;&lt;/titles&gt;&lt;periodical&gt;&lt;full-title&gt;American Economic Review&lt;/full-title&gt;&lt;/periodical&gt;&lt;pages&gt;138-148&lt;/pages&gt;&lt;volume&gt;59&lt;/volume&gt;&lt;number&gt;1&lt;/number&gt;&lt;reprint-edition&gt;Not in File&lt;/reprint-edition&gt;&lt;keywords&gt;&lt;keyword&gt;migration&lt;/keyword&gt;&lt;keyword&gt;urban&lt;/keyword&gt;&lt;/keywords&gt;&lt;dates&gt;&lt;year&gt;1969&lt;/year&gt;&lt;pub-dates&gt;&lt;date&gt;1969&lt;/date&gt;&lt;/pub-dates&gt;&lt;/dates&gt;&lt;label&gt;64&lt;/label&gt;&lt;urls&gt;&lt;/urls&gt;&lt;/record&gt;&lt;/Cite&gt;&lt;/EndNote&gt;</w:instrText>
      </w:r>
      <w:r w:rsidRPr="00C536AC">
        <w:rPr>
          <w:lang w:val="en-US"/>
        </w:rPr>
        <w:fldChar w:fldCharType="separate"/>
      </w:r>
      <w:r w:rsidRPr="00C536AC">
        <w:rPr>
          <w:lang w:val="en-US"/>
        </w:rPr>
        <w:t>(1969)</w:t>
      </w:r>
      <w:r w:rsidRPr="00C536AC">
        <w:rPr>
          <w:lang w:val="en-US"/>
        </w:rPr>
        <w:fldChar w:fldCharType="end"/>
      </w:r>
      <w:r w:rsidRPr="00C536AC">
        <w:rPr>
          <w:lang w:val="en-US"/>
        </w:rPr>
        <w:t xml:space="preserve">, Stark &amp; Bloom </w:t>
      </w:r>
      <w:r w:rsidRPr="00C536AC">
        <w:rPr>
          <w:rFonts w:cs="Arial"/>
          <w:iCs/>
          <w:szCs w:val="22"/>
          <w:lang w:val="en-US"/>
        </w:rPr>
        <w:fldChar w:fldCharType="begin"/>
      </w:r>
      <w:r w:rsidRPr="00C536AC">
        <w:rPr>
          <w:rFonts w:cs="Arial"/>
          <w:iCs/>
          <w:szCs w:val="22"/>
          <w:lang w:val="en-US"/>
        </w:rPr>
        <w:instrText xml:space="preserve"> ADDIN EN.CITE &lt;EndNote&gt;&lt;Cite ExcludeAuth="1"&gt;&lt;Author&gt;Stark&lt;/Author&gt;&lt;Year&gt;1985&lt;/Year&gt;&lt;RecNum&gt;1614&lt;/RecNum&gt;&lt;DisplayText&gt;(1985)&lt;/DisplayText&gt;&lt;record&gt;&lt;rec-number&gt;1614&lt;/rec-number&gt;&lt;foreign-keys&gt;&lt;key app="EN" db-id="2dxvfpd9a9fdpaepptwxvz2e92x9afeatrtv" timestamp="1440156168"&gt;1614&lt;/key&gt;&lt;/foreign-keys&gt;&lt;ref-type name="Journal Article"&gt;17&lt;/ref-type&gt;&lt;contributors&gt;&lt;authors&gt;&lt;author&gt;Stark, Oded&lt;/author&gt;&lt;author&gt;Bloom, David E.&lt;/author&gt;&lt;/authors&gt;&lt;/contributors&gt;&lt;titles&gt;&lt;title&gt;The new economics of labor migration&lt;/title&gt;&lt;secondary-title&gt;The American Economic Review&lt;/secondary-title&gt;&lt;/titles&gt;&lt;periodical&gt;&lt;full-title&gt;The American Economic Review&lt;/full-title&gt;&lt;/periodical&gt;&lt;pages&gt;173-178&lt;/pages&gt;&lt;volume&gt;75&lt;/volume&gt;&lt;number&gt;2&lt;/number&gt;&lt;reprint-edition&gt;Not in File&lt;/reprint-edition&gt;&lt;keywords&gt;&lt;keyword&gt;migration&lt;/keyword&gt;&lt;/keywords&gt;&lt;dates&gt;&lt;year&gt;1985&lt;/year&gt;&lt;pub-dates&gt;&lt;date&gt;1985&lt;/date&gt;&lt;/pub-dates&gt;&lt;/dates&gt;&lt;isbn&gt;0002-8282&lt;/isbn&gt;&lt;label&gt;103&lt;/label&gt;&lt;urls&gt;&lt;/urls&gt;&lt;/record&gt;&lt;/Cite&gt;&lt;/EndNote&gt;</w:instrText>
      </w:r>
      <w:r w:rsidRPr="00C536AC">
        <w:rPr>
          <w:rFonts w:cs="Arial"/>
          <w:iCs/>
          <w:szCs w:val="22"/>
          <w:lang w:val="en-US"/>
        </w:rPr>
        <w:fldChar w:fldCharType="separate"/>
      </w:r>
      <w:r w:rsidRPr="00C536AC">
        <w:rPr>
          <w:rFonts w:cs="Arial"/>
          <w:iCs/>
          <w:noProof/>
          <w:szCs w:val="22"/>
          <w:lang w:val="en-US"/>
        </w:rPr>
        <w:t>(1985)</w:t>
      </w:r>
      <w:r w:rsidRPr="00C536AC">
        <w:rPr>
          <w:rFonts w:cs="Arial"/>
          <w:iCs/>
          <w:szCs w:val="22"/>
          <w:lang w:val="en-US"/>
        </w:rPr>
        <w:fldChar w:fldCharType="end"/>
      </w:r>
      <w:r w:rsidRPr="00C536AC">
        <w:rPr>
          <w:lang w:val="en-US"/>
        </w:rPr>
        <w:t xml:space="preserve">, etc. were also considered. </w:t>
      </w:r>
    </w:p>
  </w:footnote>
  <w:footnote w:id="2">
    <w:p w:rsidR="003A7850" w:rsidRPr="00C536AC" w:rsidRDefault="003A7850" w:rsidP="003A7850">
      <w:pPr>
        <w:pStyle w:val="Funotentext"/>
        <w:rPr>
          <w:lang w:val="en-US"/>
        </w:rPr>
      </w:pPr>
      <w:r w:rsidRPr="00C536AC">
        <w:rPr>
          <w:rStyle w:val="Funotenzeichen"/>
          <w:lang w:val="en-US"/>
        </w:rPr>
        <w:footnoteRef/>
      </w:r>
      <w:r w:rsidRPr="00C536AC">
        <w:rPr>
          <w:lang w:val="en-US"/>
        </w:rPr>
        <w:t xml:space="preserve"> Other ‘classic’ assumptions are also dropped, such as that </w:t>
      </w:r>
      <w:r w:rsidRPr="00C536AC">
        <w:rPr>
          <w:rFonts w:cs="Arial"/>
          <w:iCs/>
          <w:szCs w:val="22"/>
          <w:lang w:val="en-US"/>
        </w:rPr>
        <w:t>migration is cost-free and risk-free; that potential migrants form their intentions on the basis of perfect and costless information; and that potential migrants are autonomous agents.</w:t>
      </w:r>
    </w:p>
  </w:footnote>
  <w:footnote w:id="3">
    <w:p w:rsidR="003A7850" w:rsidRPr="00C536AC" w:rsidRDefault="003A7850" w:rsidP="003A7850">
      <w:pPr>
        <w:pStyle w:val="Funotentext"/>
        <w:rPr>
          <w:lang w:val="en-US"/>
        </w:rPr>
      </w:pPr>
      <w:r w:rsidRPr="00C536AC">
        <w:rPr>
          <w:rStyle w:val="Funotenzeichen"/>
          <w:lang w:val="en-US"/>
        </w:rPr>
        <w:footnoteRef/>
      </w:r>
      <w:r w:rsidRPr="00C536AC">
        <w:rPr>
          <w:lang w:val="en-US"/>
        </w:rPr>
        <w:t xml:space="preserve"> We follow here </w:t>
      </w:r>
      <w:r w:rsidRPr="00C536AC">
        <w:rPr>
          <w:lang w:val="en-US"/>
        </w:rPr>
        <w:fldChar w:fldCharType="begin"/>
      </w:r>
      <w:r w:rsidRPr="00C536AC">
        <w:rPr>
          <w:lang w:val="en-US"/>
        </w:rPr>
        <w:instrText xml:space="preserve"> ADDIN EN.CITE &lt;EndNote&gt;&lt;Cite AuthorYear="1"&gt;&lt;Author&gt;Posner&lt;/Author&gt;&lt;Year&gt;1997&lt;/Year&gt;&lt;RecNum&gt;3298&lt;/RecNum&gt;&lt;Suffix&gt;: 1551ff&lt;/Suffix&gt;&lt;DisplayText&gt;Posner (1997: 1551ff)&lt;/DisplayText&gt;&lt;record&gt;&lt;rec-number&gt;3298&lt;/rec-number&gt;&lt;foreign-keys&gt;&lt;key app="EN" db-id="2dxvfpd9a9fdpaepptwxvz2e92x9afeatrtv" timestamp="1444655075"&gt;3298&lt;/key&gt;&lt;/foreign-keys&gt;&lt;ref-type name="Journal Article"&gt;17&lt;/ref-type&gt;&lt;contributors&gt;&lt;authors&gt;&lt;author&gt;Posner, Richard A.&lt;/author&gt;&lt;/authors&gt;&lt;/contributors&gt;&lt;titles&gt;&lt;title&gt;Rational choice, behavioral economics, and the law&lt;/title&gt;&lt;secondary-title&gt;Stanford Law Review&lt;/secondary-title&gt;&lt;/titles&gt;&lt;periodical&gt;&lt;full-title&gt;Stanford Law Review&lt;/full-title&gt;&lt;/periodical&gt;&lt;pages&gt;1551-1575&lt;/pages&gt;&lt;volume&gt;50&lt;/volume&gt;&lt;dates&gt;&lt;year&gt;1997&lt;/year&gt;&lt;/dates&gt;&lt;isbn&gt;0038-9765&lt;/isbn&gt;&lt;label&gt;195&lt;/label&gt;&lt;urls&gt;&lt;/urls&gt;&lt;/record&gt;&lt;/Cite&gt;&lt;/EndNote&gt;</w:instrText>
      </w:r>
      <w:r w:rsidRPr="00C536AC">
        <w:rPr>
          <w:lang w:val="en-US"/>
        </w:rPr>
        <w:fldChar w:fldCharType="separate"/>
      </w:r>
      <w:r w:rsidRPr="00C536AC">
        <w:rPr>
          <w:noProof/>
          <w:lang w:val="en-US"/>
        </w:rPr>
        <w:t>Posner (1997: 1551ff)</w:t>
      </w:r>
      <w:r w:rsidRPr="00C536AC">
        <w:rPr>
          <w:lang w:val="en-US"/>
        </w:rPr>
        <w:fldChar w:fldCharType="end"/>
      </w:r>
      <w:r w:rsidR="0092464D">
        <w:rPr>
          <w:lang w:val="en-US"/>
        </w:rPr>
        <w:t xml:space="preserve"> regarding bounded rationality, bounded willpower, and bounded self-interest.</w:t>
      </w:r>
    </w:p>
  </w:footnote>
  <w:footnote w:id="4">
    <w:p w:rsidR="003A7850" w:rsidRPr="00C536AC" w:rsidRDefault="003A7850" w:rsidP="003A7850">
      <w:pPr>
        <w:pStyle w:val="Funotentext"/>
        <w:rPr>
          <w:lang w:val="en-US"/>
        </w:rPr>
      </w:pPr>
      <w:r w:rsidRPr="00C536AC">
        <w:rPr>
          <w:rStyle w:val="Funotenzeichen"/>
          <w:lang w:val="en-US"/>
        </w:rPr>
        <w:footnoteRef/>
      </w:r>
      <w:r w:rsidRPr="00C536AC">
        <w:rPr>
          <w:lang w:val="en-US"/>
        </w:rPr>
        <w:t xml:space="preserve"> One could hypothesize that the graduates associate a high probability to the feasibility of the rural destination location, simply because they originate from a rural area. However, due to their intimate knowledge of the region, the opposite may also be possible. This would reflect an understanding of the past, nevertheless, graduates will surely also look ahead and anticipate expectations for the future </w:t>
      </w:r>
      <w:r w:rsidRPr="00C536AC">
        <w:rPr>
          <w:lang w:val="en-US"/>
        </w:rPr>
        <w:fldChar w:fldCharType="begin"/>
      </w:r>
      <w:r w:rsidRPr="00C536AC">
        <w:rPr>
          <w:lang w:val="en-US"/>
        </w:rPr>
        <w:instrText xml:space="preserve"> ADDIN EN.CITE &lt;EndNote&gt;&lt;Cite&gt;&lt;Author&gt;Haartsen&lt;/Author&gt;&lt;Year&gt;2014&lt;/Year&gt;&lt;RecNum&gt;3658&lt;/RecNum&gt;&lt;Suffix&gt;: 89&lt;/Suffix&gt;&lt;DisplayText&gt;(Haartsen &amp;amp; Thissen, 2014: 89)&lt;/DisplayText&gt;&lt;record&gt;&lt;rec-number&gt;3658&lt;/rec-number&gt;&lt;foreign-keys&gt;&lt;key app="EN" db-id="2dxvfpd9a9fdpaepptwxvz2e92x9afeatrtv" timestamp="1480601421"&gt;3658&lt;/key&gt;&lt;/foreign-keys&gt;&lt;ref-type name="Journal Article"&gt;17&lt;/ref-type&gt;&lt;contributors&gt;&lt;authors&gt;&lt;author&gt;Haartsen, Tialda&lt;/author&gt;&lt;author&gt;Thissen, Frans&lt;/author&gt;&lt;/authors&gt;&lt;/contributors&gt;&lt;titles&gt;&lt;title&gt;The success–failure dichotomy revisited: Young adults&amp;apos; motives to return to their rural home region&lt;/title&gt;&lt;secondary-title&gt;Children&amp;apos;s Geographies&lt;/secondary-title&gt;&lt;/titles&gt;&lt;periodical&gt;&lt;full-title&gt;Children&amp;apos;s Geographies&lt;/full-title&gt;&lt;/periodical&gt;&lt;pages&gt;87-101&lt;/pages&gt;&lt;volume&gt;12&lt;/volume&gt;&lt;number&gt;1&lt;/number&gt;&lt;dates&gt;&lt;year&gt;2014&lt;/year&gt;&lt;/dates&gt;&lt;isbn&gt;1473-3285&lt;/isbn&gt;&lt;label&gt;283&lt;/label&gt;&lt;urls&gt;&lt;/urls&gt;&lt;/record&gt;&lt;/Cite&gt;&lt;/EndNote&gt;</w:instrText>
      </w:r>
      <w:r w:rsidRPr="00C536AC">
        <w:rPr>
          <w:lang w:val="en-US"/>
        </w:rPr>
        <w:fldChar w:fldCharType="separate"/>
      </w:r>
      <w:r w:rsidRPr="00C536AC">
        <w:rPr>
          <w:noProof/>
          <w:lang w:val="en-US"/>
        </w:rPr>
        <w:t>(Haartsen &amp; Thissen, 2014: 89)</w:t>
      </w:r>
      <w:r w:rsidRPr="00C536AC">
        <w:rPr>
          <w:lang w:val="en-US"/>
        </w:rPr>
        <w:fldChar w:fldCharType="end"/>
      </w:r>
      <w:r w:rsidRPr="00C536AC">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67D82"/>
    <w:multiLevelType w:val="multilevel"/>
    <w:tmpl w:val="D19246AE"/>
    <w:lvl w:ilvl="0">
      <w:start w:val="1"/>
      <w:numFmt w:val="decimal"/>
      <w:pStyle w:val="Formatvorlageberschrift1KomplexTimesNewRomanKomplex12pt"/>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pStyle w:val="Formatvorlageberschrift3Unterschneidungab16pt"/>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World Development To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xvfpd9a9fdpaepptwxvz2e92x9afeatrtv&quot;&gt;All - endnote&lt;record-ids&gt;&lt;item&gt;1505&lt;/item&gt;&lt;item&gt;1614&lt;/item&gt;&lt;item&gt;2212&lt;/item&gt;&lt;item&gt;2267&lt;/item&gt;&lt;item&gt;2311&lt;/item&gt;&lt;item&gt;3298&lt;/item&gt;&lt;item&gt;3598&lt;/item&gt;&lt;item&gt;3658&lt;/item&gt;&lt;item&gt;3704&lt;/item&gt;&lt;item&gt;3735&lt;/item&gt;&lt;item&gt;3736&lt;/item&gt;&lt;item&gt;3738&lt;/item&gt;&lt;/record-ids&gt;&lt;/item&gt;&lt;/Libraries&gt;"/>
  </w:docVars>
  <w:rsids>
    <w:rsidRoot w:val="003A7850"/>
    <w:rsid w:val="000425B5"/>
    <w:rsid w:val="002B53B1"/>
    <w:rsid w:val="003A7850"/>
    <w:rsid w:val="006735C6"/>
    <w:rsid w:val="00716291"/>
    <w:rsid w:val="00782D35"/>
    <w:rsid w:val="008016C9"/>
    <w:rsid w:val="008018F7"/>
    <w:rsid w:val="0082337A"/>
    <w:rsid w:val="0092464D"/>
    <w:rsid w:val="00CC11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850"/>
    <w:pPr>
      <w:spacing w:after="160" w:line="259" w:lineRule="auto"/>
    </w:pPr>
  </w:style>
  <w:style w:type="paragraph" w:styleId="berschrift1">
    <w:name w:val="heading 1"/>
    <w:basedOn w:val="Standard"/>
    <w:next w:val="Standard"/>
    <w:link w:val="berschrift1Zchn"/>
    <w:uiPriority w:val="9"/>
    <w:qFormat/>
    <w:rsid w:val="003A78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A78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A78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Footnote"/>
    <w:basedOn w:val="Standard"/>
    <w:link w:val="FunotentextZchn"/>
    <w:uiPriority w:val="99"/>
    <w:unhideWhenUsed/>
    <w:rsid w:val="003A7850"/>
    <w:pPr>
      <w:spacing w:after="0" w:line="240" w:lineRule="auto"/>
    </w:pPr>
    <w:rPr>
      <w:sz w:val="20"/>
      <w:szCs w:val="20"/>
    </w:rPr>
  </w:style>
  <w:style w:type="character" w:customStyle="1" w:styleId="FunotentextZchn">
    <w:name w:val="Fußnotentext Zchn"/>
    <w:aliases w:val="Footnote Zchn"/>
    <w:basedOn w:val="Absatz-Standardschriftart"/>
    <w:link w:val="Funotentext"/>
    <w:uiPriority w:val="99"/>
    <w:rsid w:val="003A7850"/>
    <w:rPr>
      <w:sz w:val="20"/>
      <w:szCs w:val="20"/>
    </w:rPr>
  </w:style>
  <w:style w:type="character" w:styleId="Funotenzeichen">
    <w:name w:val="footnote reference"/>
    <w:aliases w:val="Footnote Reference1,Footnote symbol"/>
    <w:basedOn w:val="Absatz-Standardschriftart"/>
    <w:uiPriority w:val="99"/>
    <w:unhideWhenUsed/>
    <w:rsid w:val="003A7850"/>
    <w:rPr>
      <w:vertAlign w:val="superscript"/>
    </w:rPr>
  </w:style>
  <w:style w:type="paragraph" w:customStyle="1" w:styleId="Formatvorlageberschrift2KomplexTimesNewRomanKomplex12pt">
    <w:name w:val="Formatvorlage Überschrift 2 + (Komplex) Times New Roman (Komplex) 12 pt (..."/>
    <w:basedOn w:val="berschrift2"/>
    <w:autoRedefine/>
    <w:rsid w:val="003A7850"/>
    <w:pPr>
      <w:keepLines w:val="0"/>
      <w:spacing w:before="120" w:after="120" w:line="360" w:lineRule="auto"/>
      <w:jc w:val="both"/>
    </w:pPr>
    <w:rPr>
      <w:rFonts w:ascii="Calibri" w:eastAsia="Times New Roman" w:hAnsi="Calibri" w:cs="Angsana New"/>
      <w:bCs w:val="0"/>
      <w:color w:val="auto"/>
      <w:kern w:val="32"/>
      <w:sz w:val="24"/>
      <w:szCs w:val="24"/>
      <w:lang w:val="en-GB" w:eastAsia="de-DE" w:bidi="th-TH"/>
    </w:rPr>
  </w:style>
  <w:style w:type="paragraph" w:customStyle="1" w:styleId="Formatvorlageberschrift1KomplexTimesNewRomanKomplex12pt">
    <w:name w:val="Formatvorlage Überschrift 1 + (Komplex) Times New Roman (Komplex) 12 pt (..."/>
    <w:basedOn w:val="berschrift1"/>
    <w:autoRedefine/>
    <w:rsid w:val="003A7850"/>
    <w:pPr>
      <w:keepLines w:val="0"/>
      <w:numPr>
        <w:numId w:val="1"/>
      </w:numPr>
      <w:tabs>
        <w:tab w:val="clear" w:pos="432"/>
        <w:tab w:val="num" w:pos="360"/>
      </w:tabs>
      <w:spacing w:before="120" w:after="120"/>
      <w:ind w:left="0" w:firstLine="0"/>
      <w:jc w:val="both"/>
    </w:pPr>
    <w:rPr>
      <w:rFonts w:asciiTheme="minorHAnsi" w:eastAsia="Times New Roman" w:hAnsiTheme="minorHAnsi" w:cs="Times New Roman"/>
      <w:color w:val="auto"/>
      <w:kern w:val="32"/>
      <w:sz w:val="24"/>
      <w:szCs w:val="24"/>
      <w:lang w:val="en-GB" w:eastAsia="de-DE" w:bidi="th-TH"/>
    </w:rPr>
  </w:style>
  <w:style w:type="paragraph" w:customStyle="1" w:styleId="Formatvorlageberschrift3Unterschneidungab16pt">
    <w:name w:val="Formatvorlage Überschrift 3 + Unterschneidung ab 16 pt"/>
    <w:basedOn w:val="berschrift3"/>
    <w:autoRedefine/>
    <w:rsid w:val="003A7850"/>
    <w:pPr>
      <w:keepNext w:val="0"/>
      <w:keepLines w:val="0"/>
      <w:widowControl w:val="0"/>
      <w:numPr>
        <w:ilvl w:val="2"/>
        <w:numId w:val="1"/>
      </w:numPr>
      <w:tabs>
        <w:tab w:val="clear" w:pos="720"/>
        <w:tab w:val="num" w:pos="360"/>
      </w:tabs>
      <w:spacing w:before="120" w:after="120" w:line="240" w:lineRule="auto"/>
      <w:ind w:left="1890" w:hanging="180"/>
    </w:pPr>
    <w:rPr>
      <w:rFonts w:ascii="Arial" w:eastAsia="Times New Roman" w:hAnsi="Arial" w:cs="Angsana New"/>
      <w:b w:val="0"/>
      <w:i/>
      <w:iCs/>
      <w:color w:val="auto"/>
      <w:kern w:val="32"/>
      <w:sz w:val="24"/>
      <w:szCs w:val="20"/>
      <w:lang w:val="en-US" w:eastAsia="de-DE" w:bidi="th-TH"/>
    </w:rPr>
  </w:style>
  <w:style w:type="character" w:customStyle="1" w:styleId="berschrift2Zchn">
    <w:name w:val="Überschrift 2 Zchn"/>
    <w:basedOn w:val="Absatz-Standardschriftart"/>
    <w:link w:val="berschrift2"/>
    <w:uiPriority w:val="9"/>
    <w:semiHidden/>
    <w:rsid w:val="003A7850"/>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3A7850"/>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3A7850"/>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3A78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850"/>
    <w:rPr>
      <w:rFonts w:ascii="Tahoma" w:hAnsi="Tahoma" w:cs="Tahoma"/>
      <w:sz w:val="16"/>
      <w:szCs w:val="16"/>
    </w:rPr>
  </w:style>
  <w:style w:type="character" w:styleId="Kommentarzeichen">
    <w:name w:val="annotation reference"/>
    <w:basedOn w:val="Absatz-Standardschriftart"/>
    <w:uiPriority w:val="99"/>
    <w:semiHidden/>
    <w:unhideWhenUsed/>
    <w:rsid w:val="0092464D"/>
    <w:rPr>
      <w:sz w:val="16"/>
      <w:szCs w:val="16"/>
    </w:rPr>
  </w:style>
  <w:style w:type="paragraph" w:styleId="Kommentartext">
    <w:name w:val="annotation text"/>
    <w:basedOn w:val="Standard"/>
    <w:link w:val="KommentartextZchn"/>
    <w:uiPriority w:val="99"/>
    <w:semiHidden/>
    <w:unhideWhenUsed/>
    <w:rsid w:val="009246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464D"/>
    <w:rPr>
      <w:sz w:val="20"/>
      <w:szCs w:val="20"/>
    </w:rPr>
  </w:style>
  <w:style w:type="paragraph" w:styleId="Kommentarthema">
    <w:name w:val="annotation subject"/>
    <w:basedOn w:val="Kommentartext"/>
    <w:next w:val="Kommentartext"/>
    <w:link w:val="KommentarthemaZchn"/>
    <w:uiPriority w:val="99"/>
    <w:semiHidden/>
    <w:unhideWhenUsed/>
    <w:rsid w:val="0092464D"/>
    <w:rPr>
      <w:b/>
      <w:bCs/>
    </w:rPr>
  </w:style>
  <w:style w:type="character" w:customStyle="1" w:styleId="KommentarthemaZchn">
    <w:name w:val="Kommentarthema Zchn"/>
    <w:basedOn w:val="KommentartextZchn"/>
    <w:link w:val="Kommentarthema"/>
    <w:uiPriority w:val="99"/>
    <w:semiHidden/>
    <w:rsid w:val="0092464D"/>
    <w:rPr>
      <w:b/>
      <w:bCs/>
      <w:sz w:val="20"/>
      <w:szCs w:val="20"/>
    </w:rPr>
  </w:style>
  <w:style w:type="paragraph" w:customStyle="1" w:styleId="EndNoteBibliographyTitle">
    <w:name w:val="EndNote Bibliography Title"/>
    <w:basedOn w:val="Standard"/>
    <w:link w:val="EndNoteBibliographyTitleZchn"/>
    <w:rsid w:val="00CC115E"/>
    <w:pPr>
      <w:spacing w:after="0"/>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CC115E"/>
    <w:rPr>
      <w:rFonts w:ascii="Calibri" w:hAnsi="Calibri"/>
      <w:noProof/>
      <w:lang w:val="en-US"/>
    </w:rPr>
  </w:style>
  <w:style w:type="paragraph" w:customStyle="1" w:styleId="EndNoteBibliography">
    <w:name w:val="EndNote Bibliography"/>
    <w:basedOn w:val="Standard"/>
    <w:link w:val="EndNoteBibliographyZchn"/>
    <w:rsid w:val="00CC115E"/>
    <w:pPr>
      <w:spacing w:line="240" w:lineRule="auto"/>
    </w:pPr>
    <w:rPr>
      <w:rFonts w:ascii="Calibri" w:hAnsi="Calibri"/>
      <w:noProof/>
      <w:lang w:val="en-US"/>
    </w:rPr>
  </w:style>
  <w:style w:type="character" w:customStyle="1" w:styleId="EndNoteBibliographyZchn">
    <w:name w:val="EndNote Bibliography Zchn"/>
    <w:basedOn w:val="Absatz-Standardschriftart"/>
    <w:link w:val="EndNoteBibliography"/>
    <w:rsid w:val="00CC115E"/>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850"/>
    <w:pPr>
      <w:spacing w:after="160" w:line="259" w:lineRule="auto"/>
    </w:pPr>
  </w:style>
  <w:style w:type="paragraph" w:styleId="berschrift1">
    <w:name w:val="heading 1"/>
    <w:basedOn w:val="Standard"/>
    <w:next w:val="Standard"/>
    <w:link w:val="berschrift1Zchn"/>
    <w:uiPriority w:val="9"/>
    <w:qFormat/>
    <w:rsid w:val="003A78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A78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A78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Footnote"/>
    <w:basedOn w:val="Standard"/>
    <w:link w:val="FunotentextZchn"/>
    <w:uiPriority w:val="99"/>
    <w:unhideWhenUsed/>
    <w:rsid w:val="003A7850"/>
    <w:pPr>
      <w:spacing w:after="0" w:line="240" w:lineRule="auto"/>
    </w:pPr>
    <w:rPr>
      <w:sz w:val="20"/>
      <w:szCs w:val="20"/>
    </w:rPr>
  </w:style>
  <w:style w:type="character" w:customStyle="1" w:styleId="FunotentextZchn">
    <w:name w:val="Fußnotentext Zchn"/>
    <w:aliases w:val="Footnote Zchn"/>
    <w:basedOn w:val="Absatz-Standardschriftart"/>
    <w:link w:val="Funotentext"/>
    <w:uiPriority w:val="99"/>
    <w:rsid w:val="003A7850"/>
    <w:rPr>
      <w:sz w:val="20"/>
      <w:szCs w:val="20"/>
    </w:rPr>
  </w:style>
  <w:style w:type="character" w:styleId="Funotenzeichen">
    <w:name w:val="footnote reference"/>
    <w:aliases w:val="Footnote Reference1,Footnote symbol"/>
    <w:basedOn w:val="Absatz-Standardschriftart"/>
    <w:uiPriority w:val="99"/>
    <w:unhideWhenUsed/>
    <w:rsid w:val="003A7850"/>
    <w:rPr>
      <w:vertAlign w:val="superscript"/>
    </w:rPr>
  </w:style>
  <w:style w:type="paragraph" w:customStyle="1" w:styleId="Formatvorlageberschrift2KomplexTimesNewRomanKomplex12pt">
    <w:name w:val="Formatvorlage Überschrift 2 + (Komplex) Times New Roman (Komplex) 12 pt (..."/>
    <w:basedOn w:val="berschrift2"/>
    <w:autoRedefine/>
    <w:rsid w:val="003A7850"/>
    <w:pPr>
      <w:keepLines w:val="0"/>
      <w:spacing w:before="120" w:after="120" w:line="360" w:lineRule="auto"/>
      <w:jc w:val="both"/>
    </w:pPr>
    <w:rPr>
      <w:rFonts w:ascii="Calibri" w:eastAsia="Times New Roman" w:hAnsi="Calibri" w:cs="Angsana New"/>
      <w:bCs w:val="0"/>
      <w:color w:val="auto"/>
      <w:kern w:val="32"/>
      <w:sz w:val="24"/>
      <w:szCs w:val="24"/>
      <w:lang w:val="en-GB" w:eastAsia="de-DE" w:bidi="th-TH"/>
    </w:rPr>
  </w:style>
  <w:style w:type="paragraph" w:customStyle="1" w:styleId="Formatvorlageberschrift1KomplexTimesNewRomanKomplex12pt">
    <w:name w:val="Formatvorlage Überschrift 1 + (Komplex) Times New Roman (Komplex) 12 pt (..."/>
    <w:basedOn w:val="berschrift1"/>
    <w:autoRedefine/>
    <w:rsid w:val="003A7850"/>
    <w:pPr>
      <w:keepLines w:val="0"/>
      <w:numPr>
        <w:numId w:val="1"/>
      </w:numPr>
      <w:tabs>
        <w:tab w:val="clear" w:pos="432"/>
        <w:tab w:val="num" w:pos="360"/>
      </w:tabs>
      <w:spacing w:before="120" w:after="120"/>
      <w:ind w:left="0" w:firstLine="0"/>
      <w:jc w:val="both"/>
    </w:pPr>
    <w:rPr>
      <w:rFonts w:asciiTheme="minorHAnsi" w:eastAsia="Times New Roman" w:hAnsiTheme="minorHAnsi" w:cs="Times New Roman"/>
      <w:color w:val="auto"/>
      <w:kern w:val="32"/>
      <w:sz w:val="24"/>
      <w:szCs w:val="24"/>
      <w:lang w:val="en-GB" w:eastAsia="de-DE" w:bidi="th-TH"/>
    </w:rPr>
  </w:style>
  <w:style w:type="paragraph" w:customStyle="1" w:styleId="Formatvorlageberschrift3Unterschneidungab16pt">
    <w:name w:val="Formatvorlage Überschrift 3 + Unterschneidung ab 16 pt"/>
    <w:basedOn w:val="berschrift3"/>
    <w:autoRedefine/>
    <w:rsid w:val="003A7850"/>
    <w:pPr>
      <w:keepNext w:val="0"/>
      <w:keepLines w:val="0"/>
      <w:widowControl w:val="0"/>
      <w:numPr>
        <w:ilvl w:val="2"/>
        <w:numId w:val="1"/>
      </w:numPr>
      <w:tabs>
        <w:tab w:val="clear" w:pos="720"/>
        <w:tab w:val="num" w:pos="360"/>
      </w:tabs>
      <w:spacing w:before="120" w:after="120" w:line="240" w:lineRule="auto"/>
      <w:ind w:left="1890" w:hanging="180"/>
    </w:pPr>
    <w:rPr>
      <w:rFonts w:ascii="Arial" w:eastAsia="Times New Roman" w:hAnsi="Arial" w:cs="Angsana New"/>
      <w:b w:val="0"/>
      <w:i/>
      <w:iCs/>
      <w:color w:val="auto"/>
      <w:kern w:val="32"/>
      <w:sz w:val="24"/>
      <w:szCs w:val="20"/>
      <w:lang w:val="en-US" w:eastAsia="de-DE" w:bidi="th-TH"/>
    </w:rPr>
  </w:style>
  <w:style w:type="character" w:customStyle="1" w:styleId="berschrift2Zchn">
    <w:name w:val="Überschrift 2 Zchn"/>
    <w:basedOn w:val="Absatz-Standardschriftart"/>
    <w:link w:val="berschrift2"/>
    <w:uiPriority w:val="9"/>
    <w:semiHidden/>
    <w:rsid w:val="003A7850"/>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3A7850"/>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3A7850"/>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3A78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7850"/>
    <w:rPr>
      <w:rFonts w:ascii="Tahoma" w:hAnsi="Tahoma" w:cs="Tahoma"/>
      <w:sz w:val="16"/>
      <w:szCs w:val="16"/>
    </w:rPr>
  </w:style>
  <w:style w:type="character" w:styleId="Kommentarzeichen">
    <w:name w:val="annotation reference"/>
    <w:basedOn w:val="Absatz-Standardschriftart"/>
    <w:uiPriority w:val="99"/>
    <w:semiHidden/>
    <w:unhideWhenUsed/>
    <w:rsid w:val="0092464D"/>
    <w:rPr>
      <w:sz w:val="16"/>
      <w:szCs w:val="16"/>
    </w:rPr>
  </w:style>
  <w:style w:type="paragraph" w:styleId="Kommentartext">
    <w:name w:val="annotation text"/>
    <w:basedOn w:val="Standard"/>
    <w:link w:val="KommentartextZchn"/>
    <w:uiPriority w:val="99"/>
    <w:semiHidden/>
    <w:unhideWhenUsed/>
    <w:rsid w:val="009246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464D"/>
    <w:rPr>
      <w:sz w:val="20"/>
      <w:szCs w:val="20"/>
    </w:rPr>
  </w:style>
  <w:style w:type="paragraph" w:styleId="Kommentarthema">
    <w:name w:val="annotation subject"/>
    <w:basedOn w:val="Kommentartext"/>
    <w:next w:val="Kommentartext"/>
    <w:link w:val="KommentarthemaZchn"/>
    <w:uiPriority w:val="99"/>
    <w:semiHidden/>
    <w:unhideWhenUsed/>
    <w:rsid w:val="0092464D"/>
    <w:rPr>
      <w:b/>
      <w:bCs/>
    </w:rPr>
  </w:style>
  <w:style w:type="character" w:customStyle="1" w:styleId="KommentarthemaZchn">
    <w:name w:val="Kommentarthema Zchn"/>
    <w:basedOn w:val="KommentartextZchn"/>
    <w:link w:val="Kommentarthema"/>
    <w:uiPriority w:val="99"/>
    <w:semiHidden/>
    <w:rsid w:val="0092464D"/>
    <w:rPr>
      <w:b/>
      <w:bCs/>
      <w:sz w:val="20"/>
      <w:szCs w:val="20"/>
    </w:rPr>
  </w:style>
  <w:style w:type="paragraph" w:customStyle="1" w:styleId="EndNoteBibliographyTitle">
    <w:name w:val="EndNote Bibliography Title"/>
    <w:basedOn w:val="Standard"/>
    <w:link w:val="EndNoteBibliographyTitleZchn"/>
    <w:rsid w:val="00CC115E"/>
    <w:pPr>
      <w:spacing w:after="0"/>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CC115E"/>
    <w:rPr>
      <w:rFonts w:ascii="Calibri" w:hAnsi="Calibri"/>
      <w:noProof/>
      <w:lang w:val="en-US"/>
    </w:rPr>
  </w:style>
  <w:style w:type="paragraph" w:customStyle="1" w:styleId="EndNoteBibliography">
    <w:name w:val="EndNote Bibliography"/>
    <w:basedOn w:val="Standard"/>
    <w:link w:val="EndNoteBibliographyZchn"/>
    <w:rsid w:val="00CC115E"/>
    <w:pPr>
      <w:spacing w:line="240" w:lineRule="auto"/>
    </w:pPr>
    <w:rPr>
      <w:rFonts w:ascii="Calibri" w:hAnsi="Calibri"/>
      <w:noProof/>
      <w:lang w:val="en-US"/>
    </w:rPr>
  </w:style>
  <w:style w:type="character" w:customStyle="1" w:styleId="EndNoteBibliographyZchn">
    <w:name w:val="EndNote Bibliography Zchn"/>
    <w:basedOn w:val="Absatz-Standardschriftart"/>
    <w:link w:val="EndNoteBibliography"/>
    <w:rsid w:val="00CC115E"/>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1614</Words>
  <Characters>10175</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UniBW M</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Buchenrieder</dc:creator>
  <cp:lastModifiedBy>Christian Drondorf</cp:lastModifiedBy>
  <cp:revision>2</cp:revision>
  <dcterms:created xsi:type="dcterms:W3CDTF">2020-04-08T11:18:00Z</dcterms:created>
  <dcterms:modified xsi:type="dcterms:W3CDTF">2020-04-08T11:18:00Z</dcterms:modified>
</cp:coreProperties>
</file>