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35335" w14:textId="77777777" w:rsidR="0005196A" w:rsidRPr="00FD3B4F" w:rsidRDefault="0005196A" w:rsidP="0005196A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val="en-US"/>
        </w:rPr>
      </w:pPr>
      <w:r w:rsidRPr="00FD3B4F">
        <w:rPr>
          <w:rFonts w:ascii="Times New Roman" w:hAnsi="Times New Roman"/>
          <w:b/>
          <w:color w:val="00000A"/>
          <w:sz w:val="24"/>
          <w:szCs w:val="24"/>
          <w:lang w:val="en-US"/>
        </w:rPr>
        <w:t xml:space="preserve">Social causation versus health selection in the life course – does their relative importance differ by dimension of SES?  </w:t>
      </w:r>
    </w:p>
    <w:p w14:paraId="2AD86740" w14:textId="77777777" w:rsidR="0005196A" w:rsidRPr="0005196A" w:rsidRDefault="0005196A" w:rsidP="0005196A">
      <w:pPr>
        <w:suppressAutoHyphens/>
        <w:spacing w:after="0"/>
        <w:rPr>
          <w:rFonts w:ascii="Times New Roman" w:hAnsi="Times New Roman"/>
          <w:color w:val="00000A"/>
          <w:sz w:val="24"/>
          <w:szCs w:val="24"/>
          <w:lang w:val="en-US"/>
        </w:rPr>
      </w:pPr>
    </w:p>
    <w:p w14:paraId="25A252D6" w14:textId="5E5604A1" w:rsidR="002A0E3C" w:rsidRPr="005B40D0" w:rsidRDefault="002A0E3C" w:rsidP="002A0E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Supplementary Table 1 </w:t>
      </w:r>
      <w:r w:rsidRPr="005B40D0">
        <w:rPr>
          <w:rFonts w:ascii="Times New Roman" w:hAnsi="Times New Roman"/>
          <w:sz w:val="24"/>
          <w:szCs w:val="24"/>
        </w:rPr>
        <w:t>Factor loading of all measurement models</w:t>
      </w:r>
    </w:p>
    <w:tbl>
      <w:tblPr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03"/>
        <w:gridCol w:w="2184"/>
        <w:gridCol w:w="709"/>
        <w:gridCol w:w="709"/>
        <w:gridCol w:w="567"/>
        <w:gridCol w:w="141"/>
        <w:gridCol w:w="709"/>
        <w:gridCol w:w="709"/>
        <w:gridCol w:w="739"/>
      </w:tblGrid>
      <w:tr w:rsidR="00A159D2" w:rsidRPr="00E72BAC" w14:paraId="69BA3D0D" w14:textId="77777777" w:rsidTr="00A159D2">
        <w:trPr>
          <w:trHeight w:hRule="exact" w:val="284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509642" w14:textId="77777777" w:rsidR="00A159D2" w:rsidRPr="00976FEA" w:rsidRDefault="00A159D2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A15CDC" w14:textId="77777777" w:rsidR="00A159D2" w:rsidRPr="00976FEA" w:rsidRDefault="00A159D2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D13AC2" w14:textId="4277972C" w:rsidR="00A159D2" w:rsidRPr="00976FEA" w:rsidRDefault="00A159D2" w:rsidP="000F7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  <w:t>male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63DC01" w14:textId="77D25A96" w:rsidR="00A159D2" w:rsidRPr="00976FEA" w:rsidRDefault="00A159D2" w:rsidP="000F7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C7D81B" w14:textId="5BEA1876" w:rsidR="00A159D2" w:rsidRPr="00976FEA" w:rsidRDefault="00A159D2" w:rsidP="000F7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  <w:t>female</w:t>
            </w:r>
          </w:p>
        </w:tc>
      </w:tr>
      <w:tr w:rsidR="00A159D2" w:rsidRPr="00E72BAC" w14:paraId="49480853" w14:textId="77777777" w:rsidTr="00A159D2">
        <w:trPr>
          <w:trHeight w:hRule="exact" w:val="284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133C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Latent Variable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B3C6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Indicators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D2077A3" w14:textId="77777777" w:rsidR="002A0E3C" w:rsidRPr="00976FEA" w:rsidRDefault="002A0E3C" w:rsidP="000F7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  <w:t>SES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19A97B5" w14:textId="77777777" w:rsidR="002A0E3C" w:rsidRPr="00976FEA" w:rsidRDefault="002A0E3C" w:rsidP="000F7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  <w:t>MAT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2BADF61" w14:textId="77777777" w:rsidR="002A0E3C" w:rsidRPr="00976FEA" w:rsidRDefault="002A0E3C" w:rsidP="000F7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  <w:t>OCC</w:t>
            </w:r>
          </w:p>
        </w:tc>
        <w:tc>
          <w:tcPr>
            <w:tcW w:w="141" w:type="dxa"/>
            <w:shd w:val="clear" w:color="000000" w:fill="FFFFFF"/>
          </w:tcPr>
          <w:p w14:paraId="36188A45" w14:textId="77777777" w:rsidR="002A0E3C" w:rsidRPr="00976FEA" w:rsidRDefault="002A0E3C" w:rsidP="000F7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67D4079" w14:textId="77777777" w:rsidR="002A0E3C" w:rsidRPr="00976FEA" w:rsidRDefault="002A0E3C" w:rsidP="000F7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  <w:t>SES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E1F3FC4" w14:textId="77777777" w:rsidR="002A0E3C" w:rsidRPr="00976FEA" w:rsidRDefault="002A0E3C" w:rsidP="000F7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  <w:t>MAT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FDE2BED" w14:textId="77777777" w:rsidR="002A0E3C" w:rsidRPr="00976FEA" w:rsidRDefault="002A0E3C" w:rsidP="000F7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val="en-US" w:eastAsia="de-DE"/>
              </w:rPr>
              <w:t>OCC</w:t>
            </w:r>
          </w:p>
        </w:tc>
      </w:tr>
      <w:tr w:rsidR="00A159D2" w:rsidRPr="00E72BAC" w14:paraId="16EF3681" w14:textId="77777777" w:rsidTr="00A159D2">
        <w:trPr>
          <w:trHeight w:hRule="exact" w:val="284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4133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C-SES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34B1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Number of books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504B2F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0.88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0611E97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DF82DC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41" w:type="dxa"/>
          </w:tcPr>
          <w:p w14:paraId="11AC2371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D860A6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0.79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00756D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A5CE7B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A159D2" w:rsidRPr="00E72BAC" w14:paraId="690B4174" w14:textId="77777777" w:rsidTr="00A159D2">
        <w:trPr>
          <w:trHeight w:hRule="exact" w:val="284"/>
        </w:trPr>
        <w:tc>
          <w:tcPr>
            <w:tcW w:w="1403" w:type="dxa"/>
            <w:shd w:val="clear" w:color="auto" w:fill="auto"/>
            <w:noWrap/>
            <w:vAlign w:val="center"/>
          </w:tcPr>
          <w:p w14:paraId="720AA30A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184" w:type="dxa"/>
            <w:shd w:val="clear" w:color="auto" w:fill="auto"/>
            <w:noWrap/>
            <w:vAlign w:val="center"/>
          </w:tcPr>
          <w:p w14:paraId="1D1DAEF8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Rooms per capita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CE2F25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0.41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EF36A1E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0.44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3AEC45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41" w:type="dxa"/>
          </w:tcPr>
          <w:p w14:paraId="7E86F824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AEA7E8F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0.45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05E2A1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0.52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9D41A8C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A159D2" w:rsidRPr="00E72BAC" w14:paraId="39790F90" w14:textId="77777777" w:rsidTr="00A159D2">
        <w:trPr>
          <w:trHeight w:hRule="exact" w:val="284"/>
        </w:trPr>
        <w:tc>
          <w:tcPr>
            <w:tcW w:w="1403" w:type="dxa"/>
            <w:shd w:val="clear" w:color="auto" w:fill="auto"/>
            <w:noWrap/>
            <w:vAlign w:val="center"/>
          </w:tcPr>
          <w:p w14:paraId="6FDADBC0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184" w:type="dxa"/>
            <w:shd w:val="clear" w:color="auto" w:fill="auto"/>
            <w:noWrap/>
            <w:vAlign w:val="center"/>
          </w:tcPr>
          <w:p w14:paraId="3A2D4212" w14:textId="7D0FB2A9" w:rsidR="002A0E3C" w:rsidRPr="00976FEA" w:rsidRDefault="002A0E3C" w:rsidP="00526C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 xml:space="preserve">Father’s </w:t>
            </w:r>
            <w:r w:rsidR="00526C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skill level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4C86F9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0.68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3E307E1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7B1FB50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41" w:type="dxa"/>
          </w:tcPr>
          <w:p w14:paraId="5202E4DB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12999F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0.65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89C5076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4FC7A7B1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A159D2" w:rsidRPr="00E72BAC" w14:paraId="2557F5DB" w14:textId="77777777" w:rsidTr="00A159D2">
        <w:trPr>
          <w:trHeight w:hRule="exact" w:val="284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CE1E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47B0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Number of facilities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810F45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3385DD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0.84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A320D0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41" w:type="dxa"/>
          </w:tcPr>
          <w:p w14:paraId="792EA7DF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EB0DD3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7E1C37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0.80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0D252D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A159D2" w:rsidRPr="00E72BAC" w14:paraId="0137EBF2" w14:textId="77777777" w:rsidTr="00A159D2">
        <w:trPr>
          <w:trHeight w:hRule="exact" w:val="284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A97A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C-HEALTH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7BC5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Self-rated health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539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11B0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4895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41" w:type="dxa"/>
          </w:tcPr>
          <w:p w14:paraId="53E94615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782F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3C6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E76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0.63</w:t>
            </w:r>
          </w:p>
        </w:tc>
      </w:tr>
      <w:tr w:rsidR="00A159D2" w:rsidRPr="00E72BAC" w14:paraId="005C33F7" w14:textId="77777777" w:rsidTr="00A159D2">
        <w:trPr>
          <w:trHeight w:hRule="exact" w:val="284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5963436F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14:paraId="501ECCB8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Missed school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A09A84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549477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D08341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41" w:type="dxa"/>
          </w:tcPr>
          <w:p w14:paraId="19482F47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4A8865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5F36C0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16C4361A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0.72</w:t>
            </w:r>
          </w:p>
        </w:tc>
      </w:tr>
      <w:tr w:rsidR="00A159D2" w:rsidRPr="00E72BAC" w14:paraId="089538DE" w14:textId="77777777" w:rsidTr="00A159D2">
        <w:trPr>
          <w:trHeight w:hRule="exact" w:val="284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4283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917E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Hospitalized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C9F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3565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6AC9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41" w:type="dxa"/>
          </w:tcPr>
          <w:p w14:paraId="77448E0A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FA90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3390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F90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0.81</w:t>
            </w:r>
          </w:p>
        </w:tc>
      </w:tr>
      <w:tr w:rsidR="00A159D2" w:rsidRPr="00E72BAC" w14:paraId="38762AB8" w14:textId="77777777" w:rsidTr="00A159D2">
        <w:trPr>
          <w:trHeight w:hRule="exact" w:val="284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525F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A-SES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E96A" w14:textId="5E45EC96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Occupation</w:t>
            </w:r>
            <w:r w:rsidR="00526CF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al skill level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7EB8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983262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D1B5C3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41" w:type="dxa"/>
          </w:tcPr>
          <w:p w14:paraId="2536E3B7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B035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BD6BB19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D45964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A159D2" w:rsidRPr="00E72BAC" w14:paraId="286E46D4" w14:textId="77777777" w:rsidTr="00A159D2">
        <w:trPr>
          <w:trHeight w:hRule="exact" w:val="284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A312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B54A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Average wages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A39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46CD97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49EE5F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41" w:type="dxa"/>
          </w:tcPr>
          <w:p w14:paraId="014AAE86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EF79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90AF8D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AB9B36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A159D2" w:rsidRPr="00E72BAC" w14:paraId="4FAB31C7" w14:textId="77777777" w:rsidTr="00A159D2">
        <w:trPr>
          <w:trHeight w:hRule="exact" w:val="284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EF2F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A-HEALTH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271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Percentage of illness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871E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83A7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A450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41" w:type="dxa"/>
          </w:tcPr>
          <w:p w14:paraId="37EC7AA3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966F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E44A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94B1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</w:tr>
      <w:tr w:rsidR="00A159D2" w:rsidRPr="00E72BAC" w14:paraId="465D877B" w14:textId="77777777" w:rsidTr="00A159D2">
        <w:trPr>
          <w:trHeight w:hRule="exact" w:val="284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7336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C93D" w14:textId="57C330D1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Percentage of poor health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1548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491E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D532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141" w:type="dxa"/>
          </w:tcPr>
          <w:p w14:paraId="7BA7BC12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07BB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8140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58E1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0.42</w:t>
            </w:r>
          </w:p>
        </w:tc>
      </w:tr>
      <w:tr w:rsidR="00A159D2" w:rsidRPr="00E72BAC" w14:paraId="34DA785E" w14:textId="77777777" w:rsidTr="00A159D2">
        <w:trPr>
          <w:trHeight w:hRule="exact" w:val="284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234810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O-SES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904124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Income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1FC5D0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F49E31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65B1A3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41" w:type="dxa"/>
          </w:tcPr>
          <w:p w14:paraId="7E5CB35F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5A38B3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3E082A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CC04A2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A159D2" w:rsidRPr="00E72BAC" w14:paraId="6547A697" w14:textId="77777777" w:rsidTr="00A159D2">
        <w:trPr>
          <w:trHeight w:hRule="exact" w:val="284"/>
        </w:trPr>
        <w:tc>
          <w:tcPr>
            <w:tcW w:w="1403" w:type="dxa"/>
            <w:shd w:val="clear" w:color="auto" w:fill="auto"/>
            <w:noWrap/>
            <w:vAlign w:val="center"/>
          </w:tcPr>
          <w:p w14:paraId="3C488CDC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2184" w:type="dxa"/>
            <w:shd w:val="clear" w:color="auto" w:fill="auto"/>
            <w:noWrap/>
            <w:vAlign w:val="center"/>
          </w:tcPr>
          <w:p w14:paraId="46509E2D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Supervisory status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DD0FE6A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5BCE8B8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B38CE3B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141" w:type="dxa"/>
          </w:tcPr>
          <w:p w14:paraId="7D4CA324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01BAA12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58301B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123A652A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A159D2" w:rsidRPr="00E72BAC" w14:paraId="03537825" w14:textId="77777777" w:rsidTr="00A159D2">
        <w:trPr>
          <w:trHeight w:hRule="exact" w:val="284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E0C0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O-HEALTH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DCD4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Grip strength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5188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C829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D377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1" w:type="dxa"/>
          </w:tcPr>
          <w:p w14:paraId="43645EC3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3348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631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B83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0.68</w:t>
            </w:r>
          </w:p>
        </w:tc>
      </w:tr>
      <w:tr w:rsidR="00A159D2" w:rsidRPr="00E72BAC" w14:paraId="47FDABBF" w14:textId="77777777" w:rsidTr="00A159D2">
        <w:trPr>
          <w:trHeight w:hRule="exact" w:val="284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D7F8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 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053C" w14:textId="77777777" w:rsidR="002A0E3C" w:rsidRPr="00976FEA" w:rsidRDefault="002A0E3C" w:rsidP="000F7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  <w:r w:rsidRPr="00976FE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  <w:t>Self-rated health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ABDB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E153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1526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41" w:type="dxa"/>
            <w:tcBorders>
              <w:bottom w:val="single" w:sz="4" w:space="0" w:color="auto"/>
            </w:tcBorders>
          </w:tcPr>
          <w:p w14:paraId="28F15781" w14:textId="77777777" w:rsidR="002A0E3C" w:rsidRPr="00976FEA" w:rsidRDefault="002A0E3C" w:rsidP="000F7B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de-D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BDB7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E4C0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A0B2" w14:textId="77777777" w:rsidR="002A0E3C" w:rsidRPr="00976FEA" w:rsidRDefault="002A0E3C" w:rsidP="000F7B9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FEA">
              <w:rPr>
                <w:rFonts w:ascii="Times New Roman" w:hAnsi="Times New Roman"/>
                <w:color w:val="000000"/>
                <w:sz w:val="20"/>
                <w:szCs w:val="20"/>
              </w:rPr>
              <w:t>0.58</w:t>
            </w:r>
          </w:p>
        </w:tc>
      </w:tr>
    </w:tbl>
    <w:p w14:paraId="69B2AB7B" w14:textId="77777777" w:rsidR="002A0E3C" w:rsidRDefault="002A0E3C" w:rsidP="002A0E3C">
      <w:pPr>
        <w:rPr>
          <w:lang w:val="en-US"/>
        </w:rPr>
      </w:pPr>
    </w:p>
    <w:p w14:paraId="15141E50" w14:textId="77777777" w:rsidR="00E01EF8" w:rsidRDefault="00E01EF8" w:rsidP="002A0E3C">
      <w:pPr>
        <w:rPr>
          <w:lang w:val="en-US"/>
        </w:rPr>
      </w:pPr>
    </w:p>
    <w:p w14:paraId="21783D39" w14:textId="015E2DEA" w:rsidR="00B73611" w:rsidRPr="005B40D0" w:rsidRDefault="00B73611" w:rsidP="00B736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Supplementary Table 2 </w:t>
      </w:r>
      <w:r>
        <w:rPr>
          <w:rFonts w:ascii="Times New Roman" w:hAnsi="Times New Roman"/>
          <w:sz w:val="24"/>
          <w:szCs w:val="24"/>
        </w:rPr>
        <w:t>Previous studies on the relative importance of social causation and health selection</w:t>
      </w:r>
      <w:r w:rsidR="00E01EF8">
        <w:rPr>
          <w:rFonts w:ascii="Times New Roman" w:hAnsi="Times New Roman"/>
          <w:sz w:val="24"/>
          <w:szCs w:val="24"/>
        </w:rPr>
        <w:t xml:space="preserve"> that used several SES indicators </w:t>
      </w:r>
    </w:p>
    <w:tbl>
      <w:tblPr>
        <w:tblW w:w="0" w:type="auto"/>
        <w:tblInd w:w="-162" w:type="dxa"/>
        <w:tblBorders>
          <w:top w:val="single" w:sz="8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6"/>
        <w:gridCol w:w="4240"/>
        <w:gridCol w:w="639"/>
        <w:gridCol w:w="355"/>
        <w:gridCol w:w="67"/>
        <w:gridCol w:w="248"/>
        <w:gridCol w:w="26"/>
        <w:gridCol w:w="826"/>
        <w:gridCol w:w="858"/>
        <w:gridCol w:w="983"/>
      </w:tblGrid>
      <w:tr w:rsidR="00B73611" w14:paraId="12DDB0FB" w14:textId="77777777" w:rsidTr="00B73611">
        <w:trPr>
          <w:trHeight w:val="195"/>
          <w:tblHeader/>
        </w:trPr>
        <w:tc>
          <w:tcPr>
            <w:tcW w:w="1206" w:type="dxa"/>
            <w:vMerge w:val="restart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D9CA" w14:textId="77777777" w:rsidR="00B73611" w:rsidRDefault="00B73611" w:rsidP="00931664">
            <w:pPr>
              <w:spacing w:after="0" w:line="100" w:lineRule="atLeast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First Author/year</w:t>
            </w:r>
          </w:p>
        </w:tc>
        <w:tc>
          <w:tcPr>
            <w:tcW w:w="4240" w:type="dxa"/>
            <w:vMerge w:val="restart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24B4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SES measures</w:t>
            </w:r>
          </w:p>
        </w:tc>
        <w:tc>
          <w:tcPr>
            <w:tcW w:w="639" w:type="dxa"/>
            <w:vMerge w:val="restart"/>
            <w:tcBorders>
              <w:top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CCDA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355" w:type="dxa"/>
            <w:tcBorders>
              <w:top w:val="single" w:sz="8" w:space="0" w:color="000001"/>
            </w:tcBorders>
            <w:shd w:val="clear" w:color="auto" w:fill="FFFFFF"/>
          </w:tcPr>
          <w:p w14:paraId="145BC1A2" w14:textId="77777777" w:rsidR="00B73611" w:rsidRDefault="00B73611" w:rsidP="0093166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SEM</w:t>
            </w:r>
          </w:p>
        </w:tc>
        <w:tc>
          <w:tcPr>
            <w:tcW w:w="341" w:type="dxa"/>
            <w:gridSpan w:val="3"/>
            <w:tcBorders>
              <w:top w:val="single" w:sz="8" w:space="0" w:color="000001"/>
            </w:tcBorders>
            <w:shd w:val="clear" w:color="auto" w:fill="FFFFFF"/>
          </w:tcPr>
          <w:p w14:paraId="1F200FB0" w14:textId="77777777" w:rsidR="00B73611" w:rsidRDefault="00B73611" w:rsidP="0093166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MM</w:t>
            </w:r>
          </w:p>
        </w:tc>
        <w:tc>
          <w:tcPr>
            <w:tcW w:w="2667" w:type="dxa"/>
            <w:gridSpan w:val="3"/>
            <w:tcBorders>
              <w:top w:val="single" w:sz="8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9061" w14:textId="77777777" w:rsidR="00B73611" w:rsidRPr="00DC25BA" w:rsidRDefault="00B73611" w:rsidP="00931664">
            <w:pPr>
              <w:spacing w:after="0" w:line="100" w:lineRule="atLeast"/>
              <w:jc w:val="center"/>
            </w:pPr>
            <w:r w:rsidRPr="00DC25B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Causal direction</w:t>
            </w:r>
          </w:p>
        </w:tc>
      </w:tr>
      <w:tr w:rsidR="00B73611" w14:paraId="60CFFDDE" w14:textId="77777777" w:rsidTr="00B73611">
        <w:trPr>
          <w:trHeight w:val="195"/>
          <w:tblHeader/>
        </w:trPr>
        <w:tc>
          <w:tcPr>
            <w:tcW w:w="1206" w:type="dxa"/>
            <w:vMerge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5B8F" w14:textId="77777777" w:rsidR="00B73611" w:rsidRDefault="00B73611" w:rsidP="00931664">
            <w:pPr>
              <w:spacing w:after="0" w:line="100" w:lineRule="atLeast"/>
            </w:pPr>
          </w:p>
        </w:tc>
        <w:tc>
          <w:tcPr>
            <w:tcW w:w="4240" w:type="dxa"/>
            <w:vMerge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56A3" w14:textId="77777777" w:rsidR="00B73611" w:rsidRDefault="00B73611" w:rsidP="00931664">
            <w:pPr>
              <w:spacing w:after="0" w:line="100" w:lineRule="atLeast"/>
              <w:jc w:val="center"/>
            </w:pPr>
          </w:p>
        </w:tc>
        <w:tc>
          <w:tcPr>
            <w:tcW w:w="639" w:type="dxa"/>
            <w:vMerge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9551" w14:textId="77777777" w:rsidR="00B73611" w:rsidRDefault="00B73611" w:rsidP="00931664">
            <w:pPr>
              <w:spacing w:after="0" w:line="100" w:lineRule="atLeast"/>
              <w:jc w:val="center"/>
            </w:pPr>
          </w:p>
        </w:tc>
        <w:tc>
          <w:tcPr>
            <w:tcW w:w="422" w:type="dxa"/>
            <w:gridSpan w:val="2"/>
            <w:tcBorders>
              <w:bottom w:val="single" w:sz="8" w:space="0" w:color="000001"/>
            </w:tcBorders>
            <w:shd w:val="clear" w:color="auto" w:fill="FFFFFF"/>
          </w:tcPr>
          <w:p w14:paraId="4D48FFB2" w14:textId="77777777" w:rsidR="00B73611" w:rsidRPr="00182FF0" w:rsidRDefault="00B73611" w:rsidP="00931664">
            <w:pPr>
              <w:spacing w:after="0" w:line="100" w:lineRule="atLeas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000001"/>
            </w:tcBorders>
            <w:shd w:val="clear" w:color="auto" w:fill="FFFFFF"/>
          </w:tcPr>
          <w:p w14:paraId="04861D25" w14:textId="77777777" w:rsidR="00B73611" w:rsidRPr="00182FF0" w:rsidRDefault="00B73611" w:rsidP="00931664">
            <w:pPr>
              <w:spacing w:after="0" w:line="100" w:lineRule="atLeas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000001"/>
            </w:tcBorders>
            <w:shd w:val="clear" w:color="auto" w:fill="FFFFFF"/>
          </w:tcPr>
          <w:p w14:paraId="2818C0E0" w14:textId="77777777" w:rsidR="00B73611" w:rsidRDefault="00B73611" w:rsidP="00931664">
            <w:pPr>
              <w:spacing w:after="0" w:line="100" w:lineRule="atLeast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2033" w14:textId="77777777" w:rsidR="00B73611" w:rsidRPr="00952FE8" w:rsidRDefault="00B73611" w:rsidP="00931664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 w:rsidRPr="00952FE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Health Selection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21A9" w14:textId="77777777" w:rsidR="00B73611" w:rsidRPr="00952FE8" w:rsidRDefault="00B73611" w:rsidP="00931664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 w:rsidRPr="00952FE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Social causation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4822" w14:textId="77777777" w:rsidR="00B73611" w:rsidRPr="00952FE8" w:rsidRDefault="00B73611" w:rsidP="00931664">
            <w:pPr>
              <w:spacing w:after="0" w:line="100" w:lineRule="atLeast"/>
              <w:jc w:val="center"/>
              <w:rPr>
                <w:sz w:val="16"/>
                <w:szCs w:val="16"/>
              </w:rPr>
            </w:pPr>
            <w:r w:rsidRPr="00952FE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Relative importance</w:t>
            </w:r>
          </w:p>
        </w:tc>
      </w:tr>
      <w:tr w:rsidR="00B73611" w14:paraId="4D211F9D" w14:textId="77777777" w:rsidTr="00B73611">
        <w:trPr>
          <w:trHeight w:val="300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0C5C" w14:textId="77777777" w:rsidR="00B73611" w:rsidRDefault="00B73611" w:rsidP="00931664">
            <w:pPr>
              <w:spacing w:after="0" w:line="100" w:lineRule="atLeast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Case 2005</w:t>
            </w:r>
          </w:p>
        </w:tc>
        <w:tc>
          <w:tcPr>
            <w:tcW w:w="4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EFAD" w14:textId="77777777" w:rsidR="00B73611" w:rsidRDefault="00B73611" w:rsidP="00931664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Occupation, income, education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99E9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7-42</w:t>
            </w:r>
          </w:p>
        </w:tc>
        <w:tc>
          <w:tcPr>
            <w:tcW w:w="422" w:type="dxa"/>
            <w:gridSpan w:val="2"/>
            <w:shd w:val="clear" w:color="auto" w:fill="FFFFFF"/>
          </w:tcPr>
          <w:p w14:paraId="11E56639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14:paraId="288F65BC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14:paraId="203EACA6" w14:textId="77777777" w:rsidR="00B73611" w:rsidRDefault="00B73611" w:rsidP="0093166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1D7F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45A9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4AE6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ND</w:t>
            </w:r>
          </w:p>
        </w:tc>
      </w:tr>
      <w:tr w:rsidR="00B73611" w14:paraId="113F612F" w14:textId="77777777" w:rsidTr="00B73611">
        <w:trPr>
          <w:trHeight w:val="300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9D82" w14:textId="77777777" w:rsidR="00B73611" w:rsidRDefault="00B73611" w:rsidP="00931664">
            <w:pPr>
              <w:spacing w:after="0" w:line="100" w:lineRule="atLeast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Eaton 2001</w:t>
            </w:r>
          </w:p>
        </w:tc>
        <w:tc>
          <w:tcPr>
            <w:tcW w:w="4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450B" w14:textId="77777777" w:rsidR="00B73611" w:rsidRDefault="00B73611" w:rsidP="00931664">
            <w:pPr>
              <w:spacing w:after="0" w:line="100" w:lineRule="atLeast"/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Labor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income, HH-income, job percentiles, social benefits, other income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6F0A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16-64</w:t>
            </w:r>
          </w:p>
        </w:tc>
        <w:tc>
          <w:tcPr>
            <w:tcW w:w="422" w:type="dxa"/>
            <w:gridSpan w:val="2"/>
            <w:shd w:val="clear" w:color="auto" w:fill="FFFFFF"/>
          </w:tcPr>
          <w:p w14:paraId="355ECDBE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14:paraId="1107C1D3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14:paraId="71A38049" w14:textId="77777777" w:rsidR="00B73611" w:rsidRDefault="00B73611" w:rsidP="0093166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590C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E3D2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CD8C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none</w:t>
            </w:r>
          </w:p>
        </w:tc>
      </w:tr>
      <w:tr w:rsidR="00B73611" w14:paraId="6DC977D9" w14:textId="77777777" w:rsidTr="00B73611">
        <w:trPr>
          <w:trHeight w:val="300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FC13" w14:textId="77777777" w:rsidR="00B73611" w:rsidRDefault="00B73611" w:rsidP="00931664">
            <w:pPr>
              <w:spacing w:after="0" w:line="100" w:lineRule="atLeast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Elovaino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2011</w:t>
            </w:r>
          </w:p>
        </w:tc>
        <w:tc>
          <w:tcPr>
            <w:tcW w:w="4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40FE" w14:textId="77777777" w:rsidR="00B73611" w:rsidRDefault="00B73611" w:rsidP="00931664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Occupation, promotion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0CD0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41-74</w:t>
            </w:r>
          </w:p>
        </w:tc>
        <w:tc>
          <w:tcPr>
            <w:tcW w:w="422" w:type="dxa"/>
            <w:gridSpan w:val="2"/>
            <w:shd w:val="clear" w:color="auto" w:fill="FFFFFF"/>
          </w:tcPr>
          <w:p w14:paraId="40807EC6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14:paraId="1C8C4B66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14:paraId="4D3536E2" w14:textId="77777777" w:rsidR="00B73611" w:rsidRDefault="00B73611" w:rsidP="0093166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6A1A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0D70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38B0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SC</w:t>
            </w:r>
          </w:p>
        </w:tc>
      </w:tr>
      <w:tr w:rsidR="00B73611" w14:paraId="3A47DB70" w14:textId="77777777" w:rsidTr="00B73611">
        <w:trPr>
          <w:trHeight w:val="300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BDB6" w14:textId="77777777" w:rsidR="00B73611" w:rsidRDefault="00B73611" w:rsidP="00931664">
            <w:pPr>
              <w:spacing w:after="0" w:line="100" w:lineRule="atLeast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Elovaino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2012</w:t>
            </w:r>
          </w:p>
        </w:tc>
        <w:tc>
          <w:tcPr>
            <w:tcW w:w="4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CEF3" w14:textId="77777777" w:rsidR="00B73611" w:rsidRDefault="00B73611" w:rsidP="00931664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Occupation, income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2654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30-45</w:t>
            </w:r>
          </w:p>
        </w:tc>
        <w:tc>
          <w:tcPr>
            <w:tcW w:w="422" w:type="dxa"/>
            <w:gridSpan w:val="2"/>
            <w:shd w:val="clear" w:color="auto" w:fill="FFFFFF"/>
          </w:tcPr>
          <w:p w14:paraId="2A884DA4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14:paraId="4A17606C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14:paraId="7DDAF2E3" w14:textId="77777777" w:rsidR="00B73611" w:rsidRDefault="00B73611" w:rsidP="0093166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DEA2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C38A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8B69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HS</w:t>
            </w:r>
          </w:p>
        </w:tc>
      </w:tr>
      <w:tr w:rsidR="00B73611" w14:paraId="33526205" w14:textId="77777777" w:rsidTr="00B73611">
        <w:trPr>
          <w:trHeight w:val="300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3C8A" w14:textId="77777777" w:rsidR="00B73611" w:rsidRDefault="00B73611" w:rsidP="00931664">
            <w:pPr>
              <w:spacing w:after="0" w:line="100" w:lineRule="atLeast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Huurre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2005</w:t>
            </w:r>
          </w:p>
        </w:tc>
        <w:tc>
          <w:tcPr>
            <w:tcW w:w="4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7518" w14:textId="77777777" w:rsidR="00B73611" w:rsidRDefault="00B73611" w:rsidP="00931664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Occupation, education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D00C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16-32</w:t>
            </w:r>
          </w:p>
        </w:tc>
        <w:tc>
          <w:tcPr>
            <w:tcW w:w="422" w:type="dxa"/>
            <w:gridSpan w:val="2"/>
            <w:shd w:val="clear" w:color="auto" w:fill="FFFFFF"/>
          </w:tcPr>
          <w:p w14:paraId="456B03EC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14:paraId="35824AFB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yes</w:t>
            </w:r>
          </w:p>
        </w:tc>
        <w:tc>
          <w:tcPr>
            <w:tcW w:w="0" w:type="auto"/>
            <w:shd w:val="clear" w:color="auto" w:fill="FFFFFF"/>
          </w:tcPr>
          <w:p w14:paraId="62834C48" w14:textId="77777777" w:rsidR="00B73611" w:rsidRDefault="00B73611" w:rsidP="0093166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62D6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8F2B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663F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HS</w:t>
            </w:r>
          </w:p>
        </w:tc>
      </w:tr>
      <w:tr w:rsidR="00B73611" w14:paraId="00011DD1" w14:textId="77777777" w:rsidTr="00B73611">
        <w:trPr>
          <w:trHeight w:val="300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1934" w14:textId="77777777" w:rsidR="00B73611" w:rsidRDefault="00B73611" w:rsidP="00931664">
            <w:pPr>
              <w:spacing w:after="0" w:line="100" w:lineRule="atLeast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Palloni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2009</w:t>
            </w:r>
          </w:p>
        </w:tc>
        <w:tc>
          <w:tcPr>
            <w:tcW w:w="4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D35B" w14:textId="77777777" w:rsidR="00B73611" w:rsidRDefault="00B73611" w:rsidP="00931664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Occupation, education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2074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7-42</w:t>
            </w:r>
          </w:p>
        </w:tc>
        <w:tc>
          <w:tcPr>
            <w:tcW w:w="422" w:type="dxa"/>
            <w:gridSpan w:val="2"/>
            <w:shd w:val="clear" w:color="auto" w:fill="FFFFFF"/>
          </w:tcPr>
          <w:p w14:paraId="426CC62D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14:paraId="61FB837D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shd w:val="clear" w:color="auto" w:fill="FFFFFF"/>
          </w:tcPr>
          <w:p w14:paraId="08F035C5" w14:textId="77777777" w:rsidR="00B73611" w:rsidRDefault="00B73611" w:rsidP="0093166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7480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133D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E29B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SC</w:t>
            </w:r>
          </w:p>
        </w:tc>
      </w:tr>
      <w:tr w:rsidR="00B73611" w14:paraId="642C3603" w14:textId="77777777" w:rsidTr="00B73611">
        <w:trPr>
          <w:trHeight w:val="300"/>
        </w:trPr>
        <w:tc>
          <w:tcPr>
            <w:tcW w:w="1206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95AB" w14:textId="77777777" w:rsidR="00B73611" w:rsidRDefault="00B73611" w:rsidP="00931664">
            <w:pPr>
              <w:spacing w:after="0" w:line="100" w:lineRule="atLeast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Power2002</w:t>
            </w:r>
          </w:p>
        </w:tc>
        <w:tc>
          <w:tcPr>
            <w:tcW w:w="4240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AA8B" w14:textId="77777777" w:rsidR="00B73611" w:rsidRDefault="00B73611" w:rsidP="00931664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Unemployment, financial hardship, redundancies, occupational class</w:t>
            </w:r>
          </w:p>
        </w:tc>
        <w:tc>
          <w:tcPr>
            <w:tcW w:w="639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9400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23-33</w:t>
            </w:r>
          </w:p>
        </w:tc>
        <w:tc>
          <w:tcPr>
            <w:tcW w:w="422" w:type="dxa"/>
            <w:gridSpan w:val="2"/>
            <w:tcBorders>
              <w:bottom w:val="nil"/>
            </w:tcBorders>
            <w:shd w:val="clear" w:color="auto" w:fill="FFFFFF"/>
          </w:tcPr>
          <w:p w14:paraId="5FB8A76E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49FC0239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14:paraId="63EE27AF" w14:textId="77777777" w:rsidR="00B73611" w:rsidRDefault="00B73611" w:rsidP="0093166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6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62C1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58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A5B75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983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6D13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SC</w:t>
            </w:r>
          </w:p>
        </w:tc>
      </w:tr>
      <w:tr w:rsidR="00B73611" w14:paraId="1FE8A534" w14:textId="77777777" w:rsidTr="00B73611">
        <w:trPr>
          <w:trHeight w:val="300"/>
        </w:trPr>
        <w:tc>
          <w:tcPr>
            <w:tcW w:w="120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EF34" w14:textId="77777777" w:rsidR="00B73611" w:rsidRDefault="00B73611" w:rsidP="00931664">
            <w:pPr>
              <w:spacing w:after="0" w:line="100" w:lineRule="atLeast"/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Stansfeld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2011</w:t>
            </w:r>
          </w:p>
        </w:tc>
        <w:tc>
          <w:tcPr>
            <w:tcW w:w="424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56C2" w14:textId="77777777" w:rsidR="00B73611" w:rsidRDefault="00B73611" w:rsidP="00931664">
            <w:pPr>
              <w:spacing w:after="0" w:line="100" w:lineRule="atLeast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Occupational classes, tenure</w:t>
            </w: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4B81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7-42</w:t>
            </w:r>
          </w:p>
        </w:tc>
        <w:tc>
          <w:tcPr>
            <w:tcW w:w="42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F839DF4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74F90DA" w14:textId="77777777" w:rsidR="00B73611" w:rsidRPr="00182FF0" w:rsidRDefault="00B73611" w:rsidP="00931664">
            <w:pPr>
              <w:spacing w:after="0" w:line="100" w:lineRule="atLeas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274D4A9" w14:textId="77777777" w:rsidR="00B73611" w:rsidRDefault="00B73611" w:rsidP="00931664">
            <w:pPr>
              <w:spacing w:after="0" w:line="100" w:lineRule="atLeast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2C96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647D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983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DBC3" w14:textId="77777777" w:rsidR="00B73611" w:rsidRDefault="00B73611" w:rsidP="00931664">
            <w:pPr>
              <w:spacing w:after="0" w:line="100" w:lineRule="atLeast"/>
              <w:jc w:val="center"/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equal</w:t>
            </w:r>
          </w:p>
        </w:tc>
      </w:tr>
    </w:tbl>
    <w:p w14:paraId="6898655A" w14:textId="0A5B6B2E" w:rsidR="00B73611" w:rsidRDefault="00B73611" w:rsidP="00B73611">
      <w:r>
        <w:rPr>
          <w:i/>
          <w:sz w:val="18"/>
          <w:szCs w:val="18"/>
        </w:rPr>
        <w:t xml:space="preserve">Note: </w:t>
      </w:r>
      <w:r>
        <w:rPr>
          <w:sz w:val="18"/>
          <w:szCs w:val="18"/>
        </w:rPr>
        <w:t xml:space="preserve"> SEM= simultaneous equation </w:t>
      </w:r>
      <w:proofErr w:type="spellStart"/>
      <w:r>
        <w:rPr>
          <w:sz w:val="18"/>
          <w:szCs w:val="18"/>
        </w:rPr>
        <w:t>modeling</w:t>
      </w:r>
      <w:proofErr w:type="spellEnd"/>
      <w:r>
        <w:rPr>
          <w:sz w:val="18"/>
          <w:szCs w:val="18"/>
        </w:rPr>
        <w:t xml:space="preserve">; MM = measurement </w:t>
      </w:r>
      <w:bookmarkStart w:id="0" w:name="_GoBack"/>
      <w:r>
        <w:rPr>
          <w:sz w:val="18"/>
          <w:szCs w:val="18"/>
        </w:rPr>
        <w:t>mod</w:t>
      </w:r>
      <w:bookmarkEnd w:id="0"/>
      <w:r>
        <w:rPr>
          <w:sz w:val="18"/>
          <w:szCs w:val="18"/>
        </w:rPr>
        <w:t xml:space="preserve">el; HS = health Selection; SC = Social Causation; Relative Importance favours …; ND = not determined; </w:t>
      </w:r>
    </w:p>
    <w:p w14:paraId="54773C4B" w14:textId="77777777" w:rsidR="00B73611" w:rsidRPr="00B73611" w:rsidRDefault="00B73611" w:rsidP="002A0E3C"/>
    <w:p w14:paraId="3B92259D" w14:textId="3FDB8E4C" w:rsidR="00E01EF8" w:rsidRDefault="00E01EF8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06697982" w14:textId="07B9DC83" w:rsidR="002A0E3C" w:rsidRPr="002A0E3C" w:rsidRDefault="002A0E3C" w:rsidP="002A0E3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Supplementary </w:t>
      </w:r>
      <w:r w:rsidRPr="002A0E3C">
        <w:rPr>
          <w:rFonts w:ascii="Times New Roman" w:hAnsi="Times New Roman"/>
          <w:b/>
          <w:sz w:val="24"/>
          <w:szCs w:val="24"/>
          <w:lang w:val="en-US"/>
        </w:rPr>
        <w:t>Fig</w:t>
      </w:r>
      <w:r w:rsidR="005B40D0">
        <w:rPr>
          <w:rFonts w:ascii="Times New Roman" w:hAnsi="Times New Roman"/>
          <w:b/>
          <w:sz w:val="24"/>
          <w:szCs w:val="24"/>
          <w:lang w:val="en-US"/>
        </w:rPr>
        <w:t>.</w:t>
      </w:r>
      <w:r w:rsidRPr="002A0E3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2A0E3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A0E3C">
        <w:rPr>
          <w:rFonts w:ascii="Times New Roman" w:hAnsi="Times New Roman"/>
          <w:sz w:val="24"/>
          <w:szCs w:val="24"/>
          <w:lang w:val="en-US"/>
        </w:rPr>
        <w:t>Relative explanatory power of social causation and health selection, for countries from the Western European region</w:t>
      </w:r>
    </w:p>
    <w:p w14:paraId="17673251" w14:textId="77777777" w:rsidR="002A0E3C" w:rsidRDefault="002A0E3C" w:rsidP="00E7346B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2A0E3C">
        <w:rPr>
          <w:rFonts w:ascii="Times New Roman" w:hAnsi="Times New Roman" w:cs="Arial"/>
          <w:sz w:val="20"/>
          <w:szCs w:val="20"/>
          <w:lang w:val="en-US"/>
        </w:rPr>
        <w:t>Note: countries=Austria, Germany, Netherlands, France, Switzerland, Belgium</w:t>
      </w:r>
      <w:r>
        <w:rPr>
          <w:rFonts w:ascii="Times New Roman" w:hAnsi="Times New Roman" w:cs="Arial"/>
          <w:sz w:val="20"/>
          <w:szCs w:val="20"/>
          <w:lang w:val="en-US"/>
        </w:rPr>
        <w:t>;</w:t>
      </w:r>
      <w:r w:rsidRPr="002A0E3C">
        <w:rPr>
          <w:rFonts w:ascii="Times New Roman" w:hAnsi="Times New Roman" w:cs="Arial"/>
          <w:sz w:val="20"/>
          <w:szCs w:val="20"/>
          <w:lang w:val="en-US"/>
        </w:rPr>
        <w:t xml:space="preserve"> Phase 1=transition from childhood to adult age</w:t>
      </w:r>
      <w:r w:rsidRPr="000D3779">
        <w:rPr>
          <w:rFonts w:ascii="Times New Roman" w:hAnsi="Times New Roman" w:cs="Arial"/>
          <w:sz w:val="20"/>
          <w:szCs w:val="20"/>
          <w:lang w:val="en-US"/>
        </w:rPr>
        <w:t>; Phase 2=transition from adulthood to old age; the confidence intervals show whether an estimate is different from zero (p&lt;0.05</w:t>
      </w:r>
      <w:r>
        <w:rPr>
          <w:rFonts w:ascii="Times New Roman" w:hAnsi="Times New Roman" w:cs="Arial"/>
          <w:sz w:val="20"/>
          <w:szCs w:val="20"/>
          <w:lang w:val="en-US"/>
        </w:rPr>
        <w:t>, two-tailed</w:t>
      </w:r>
      <w:r w:rsidRPr="000D3779">
        <w:rPr>
          <w:rFonts w:ascii="Times New Roman" w:hAnsi="Times New Roman" w:cs="Arial"/>
          <w:sz w:val="20"/>
          <w:szCs w:val="20"/>
          <w:lang w:val="en-US"/>
        </w:rPr>
        <w:t>), while the p-values are from a direct Wald-test for difference between the standardized coefficient for causation and selection</w:t>
      </w:r>
      <w:r w:rsidR="00E7346B">
        <w:rPr>
          <w:rFonts w:ascii="Times New Roman" w:hAnsi="Times New Roman" w:cs="Arial"/>
          <w:sz w:val="20"/>
          <w:szCs w:val="20"/>
          <w:lang w:val="en-US"/>
        </w:rPr>
        <w:t>; t</w:t>
      </w:r>
      <w:r w:rsidR="00E7346B" w:rsidRPr="006C5D43">
        <w:rPr>
          <w:rFonts w:ascii="Times New Roman" w:hAnsi="Times New Roman"/>
          <w:sz w:val="20"/>
          <w:szCs w:val="20"/>
          <w:lang w:val="en-US"/>
        </w:rPr>
        <w:t>he total results for SHARE are weighted to account for unequal probability in the sampling process and</w:t>
      </w:r>
      <w:r w:rsidR="00E7346B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7346B" w:rsidRPr="006C5D43">
        <w:rPr>
          <w:rFonts w:ascii="Times New Roman" w:hAnsi="Times New Roman"/>
          <w:sz w:val="20"/>
          <w:szCs w:val="20"/>
          <w:lang w:val="en-US"/>
        </w:rPr>
        <w:t>to represent the different sizes of the population in the countries. Consequently, the results from the whole SHARE sample are not an average of the results of the regions.</w:t>
      </w:r>
    </w:p>
    <w:p w14:paraId="7C0946F0" w14:textId="77777777" w:rsidR="00440ABF" w:rsidRDefault="00440ABF" w:rsidP="00E7346B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9CF5D5D" w14:textId="77777777" w:rsidR="00E01EF8" w:rsidRDefault="00E01EF8" w:rsidP="00E7346B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21A21E3" w14:textId="3F8C37CA" w:rsidR="002A0E3C" w:rsidRPr="002A0E3C" w:rsidRDefault="002A0E3C" w:rsidP="00E7346B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Supplementary </w:t>
      </w:r>
      <w:r w:rsidRPr="002A0E3C">
        <w:rPr>
          <w:rFonts w:ascii="Times New Roman" w:hAnsi="Times New Roman"/>
          <w:b/>
          <w:sz w:val="24"/>
          <w:szCs w:val="24"/>
          <w:lang w:val="en-US"/>
        </w:rPr>
        <w:t>Fig</w:t>
      </w:r>
      <w:r w:rsidR="005B40D0">
        <w:rPr>
          <w:rFonts w:ascii="Times New Roman" w:hAnsi="Times New Roman"/>
          <w:b/>
          <w:sz w:val="24"/>
          <w:szCs w:val="24"/>
          <w:lang w:val="en-US"/>
        </w:rPr>
        <w:t>.</w:t>
      </w:r>
      <w:r w:rsidRPr="002A0E3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F3937">
        <w:rPr>
          <w:rFonts w:ascii="Times New Roman" w:hAnsi="Times New Roman"/>
          <w:b/>
          <w:sz w:val="24"/>
          <w:szCs w:val="24"/>
          <w:lang w:val="en-US"/>
        </w:rPr>
        <w:t>2</w:t>
      </w:r>
      <w:r w:rsidRPr="002A0E3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A0E3C">
        <w:rPr>
          <w:rFonts w:ascii="Times New Roman" w:hAnsi="Times New Roman"/>
          <w:sz w:val="24"/>
          <w:szCs w:val="24"/>
          <w:lang w:val="en-US"/>
        </w:rPr>
        <w:t xml:space="preserve">Relative explanatory power of social causation and health selection, for countries from the </w:t>
      </w:r>
      <w:r>
        <w:rPr>
          <w:rFonts w:ascii="Times New Roman" w:hAnsi="Times New Roman"/>
          <w:sz w:val="24"/>
          <w:szCs w:val="24"/>
          <w:lang w:val="en-US"/>
        </w:rPr>
        <w:t>Northern</w:t>
      </w:r>
      <w:r w:rsidRPr="002A0E3C">
        <w:rPr>
          <w:rFonts w:ascii="Times New Roman" w:hAnsi="Times New Roman"/>
          <w:sz w:val="24"/>
          <w:szCs w:val="24"/>
          <w:lang w:val="en-US"/>
        </w:rPr>
        <w:t xml:space="preserve"> European region</w:t>
      </w:r>
    </w:p>
    <w:p w14:paraId="3F92A5A8" w14:textId="2CC7BD1C" w:rsidR="002A0E3C" w:rsidRDefault="002A0E3C" w:rsidP="00E7346B">
      <w:pPr>
        <w:spacing w:after="0"/>
        <w:rPr>
          <w:rFonts w:ascii="Times New Roman" w:hAnsi="Times New Roman" w:cs="Arial"/>
          <w:sz w:val="20"/>
          <w:szCs w:val="20"/>
          <w:lang w:val="en-US"/>
        </w:rPr>
      </w:pPr>
      <w:r w:rsidRPr="002A0E3C">
        <w:rPr>
          <w:rFonts w:ascii="Times New Roman" w:hAnsi="Times New Roman" w:cs="Arial"/>
          <w:sz w:val="20"/>
          <w:szCs w:val="20"/>
          <w:lang w:val="en-US"/>
        </w:rPr>
        <w:t xml:space="preserve">Note: </w:t>
      </w:r>
      <w:r w:rsidR="00E7346B">
        <w:rPr>
          <w:rFonts w:ascii="Times New Roman" w:hAnsi="Times New Roman" w:cs="Arial"/>
          <w:sz w:val="20"/>
          <w:szCs w:val="20"/>
          <w:lang w:val="en-US"/>
        </w:rPr>
        <w:t>see Supplementary Fig</w:t>
      </w:r>
      <w:r w:rsidR="005B40D0">
        <w:rPr>
          <w:rFonts w:ascii="Times New Roman" w:hAnsi="Times New Roman" w:cs="Arial"/>
          <w:sz w:val="20"/>
          <w:szCs w:val="20"/>
          <w:lang w:val="en-US"/>
        </w:rPr>
        <w:t xml:space="preserve">. </w:t>
      </w:r>
      <w:r w:rsidR="00E7346B">
        <w:rPr>
          <w:rFonts w:ascii="Times New Roman" w:hAnsi="Times New Roman" w:cs="Arial"/>
          <w:sz w:val="20"/>
          <w:szCs w:val="20"/>
          <w:lang w:val="en-US"/>
        </w:rPr>
        <w:t xml:space="preserve">1; </w:t>
      </w:r>
      <w:r w:rsidRPr="002A0E3C">
        <w:rPr>
          <w:rFonts w:ascii="Times New Roman" w:hAnsi="Times New Roman" w:cs="Arial"/>
          <w:sz w:val="20"/>
          <w:szCs w:val="20"/>
          <w:lang w:val="en-US"/>
        </w:rPr>
        <w:t>countries=</w:t>
      </w:r>
      <w:r>
        <w:rPr>
          <w:rFonts w:ascii="Times New Roman" w:hAnsi="Times New Roman" w:cs="Arial"/>
          <w:sz w:val="20"/>
          <w:szCs w:val="20"/>
          <w:lang w:val="en-US"/>
        </w:rPr>
        <w:t>Denmark, Sweden</w:t>
      </w:r>
    </w:p>
    <w:p w14:paraId="77E9ED9B" w14:textId="77777777" w:rsidR="00E7346B" w:rsidRDefault="00E7346B" w:rsidP="00E7346B">
      <w:pPr>
        <w:spacing w:after="0"/>
        <w:rPr>
          <w:rFonts w:ascii="Times New Roman" w:hAnsi="Times New Roman" w:cs="Arial"/>
          <w:sz w:val="20"/>
          <w:szCs w:val="20"/>
          <w:lang w:val="en-US"/>
        </w:rPr>
      </w:pPr>
    </w:p>
    <w:p w14:paraId="633D9445" w14:textId="77777777" w:rsidR="00E01EF8" w:rsidRDefault="00E01EF8" w:rsidP="00E7346B">
      <w:pPr>
        <w:spacing w:after="0"/>
        <w:rPr>
          <w:rFonts w:ascii="Times New Roman" w:hAnsi="Times New Roman" w:cs="Arial"/>
          <w:sz w:val="20"/>
          <w:szCs w:val="20"/>
          <w:lang w:val="en-US"/>
        </w:rPr>
      </w:pPr>
    </w:p>
    <w:p w14:paraId="0AF370DB" w14:textId="77777777" w:rsidR="00440ABF" w:rsidRDefault="00440ABF" w:rsidP="00E7346B">
      <w:pPr>
        <w:spacing w:after="0"/>
        <w:rPr>
          <w:rFonts w:ascii="Times New Roman" w:hAnsi="Times New Roman" w:cs="Arial"/>
          <w:sz w:val="20"/>
          <w:szCs w:val="20"/>
          <w:lang w:val="en-US"/>
        </w:rPr>
      </w:pPr>
    </w:p>
    <w:p w14:paraId="02AC9B3E" w14:textId="31B1D7A8" w:rsidR="00E7346B" w:rsidRPr="003E1889" w:rsidRDefault="000F3937" w:rsidP="00E734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  <w:lang w:val="en-US"/>
        </w:rPr>
        <w:t>Supplementary Fig</w:t>
      </w:r>
      <w:r w:rsidR="005B40D0">
        <w:rPr>
          <w:rFonts w:ascii="Times New Roman" w:hAnsi="Times New Roman" w:cs="Arial"/>
          <w:b/>
          <w:sz w:val="24"/>
          <w:szCs w:val="24"/>
          <w:lang w:val="en-US"/>
        </w:rPr>
        <w:t>.</w:t>
      </w:r>
      <w:r>
        <w:rPr>
          <w:rFonts w:ascii="Times New Roman" w:hAnsi="Times New Roman" w:cs="Arial"/>
          <w:b/>
          <w:sz w:val="24"/>
          <w:szCs w:val="24"/>
          <w:lang w:val="en-US"/>
        </w:rPr>
        <w:t xml:space="preserve"> 3</w:t>
      </w:r>
      <w:r w:rsidR="002A0E3C" w:rsidRPr="003E1889">
        <w:rPr>
          <w:rFonts w:ascii="Times New Roman" w:hAnsi="Times New Roman" w:cs="Arial"/>
          <w:sz w:val="24"/>
          <w:szCs w:val="24"/>
          <w:lang w:val="en-US"/>
        </w:rPr>
        <w:t xml:space="preserve"> S</w:t>
      </w:r>
      <w:proofErr w:type="spellStart"/>
      <w:r w:rsidR="00C81F99" w:rsidRPr="003E1889">
        <w:rPr>
          <w:rFonts w:ascii="Times New Roman" w:hAnsi="Times New Roman"/>
          <w:sz w:val="24"/>
          <w:szCs w:val="24"/>
        </w:rPr>
        <w:t>ensitivity</w:t>
      </w:r>
      <w:proofErr w:type="spellEnd"/>
      <w:r w:rsidR="00C81F99" w:rsidRPr="003E1889">
        <w:rPr>
          <w:rFonts w:ascii="Times New Roman" w:hAnsi="Times New Roman"/>
          <w:sz w:val="24"/>
          <w:szCs w:val="24"/>
        </w:rPr>
        <w:t xml:space="preserve"> analys</w:t>
      </w:r>
      <w:r w:rsidR="002A0E3C" w:rsidRPr="003E1889">
        <w:rPr>
          <w:rFonts w:ascii="Times New Roman" w:hAnsi="Times New Roman"/>
          <w:sz w:val="24"/>
          <w:szCs w:val="24"/>
        </w:rPr>
        <w:t>i</w:t>
      </w:r>
      <w:r w:rsidR="00C81F99" w:rsidRPr="003E1889">
        <w:rPr>
          <w:rFonts w:ascii="Times New Roman" w:hAnsi="Times New Roman"/>
          <w:sz w:val="24"/>
          <w:szCs w:val="24"/>
        </w:rPr>
        <w:t>s</w:t>
      </w:r>
      <w:r w:rsidR="002A0E3C" w:rsidRPr="003E1889">
        <w:rPr>
          <w:rFonts w:ascii="Times New Roman" w:hAnsi="Times New Roman"/>
          <w:sz w:val="24"/>
          <w:szCs w:val="24"/>
        </w:rPr>
        <w:t>,</w:t>
      </w:r>
      <w:r w:rsidR="00C81F99" w:rsidRPr="003E1889">
        <w:rPr>
          <w:rFonts w:ascii="Times New Roman" w:hAnsi="Times New Roman"/>
          <w:sz w:val="24"/>
          <w:szCs w:val="24"/>
        </w:rPr>
        <w:t xml:space="preserve"> excluding people with missing information on wages</w:t>
      </w:r>
    </w:p>
    <w:p w14:paraId="32CC5B9C" w14:textId="39B5DFE5" w:rsidR="00C81F99" w:rsidRDefault="00E7346B" w:rsidP="00E7346B">
      <w:pPr>
        <w:spacing w:after="0"/>
        <w:rPr>
          <w:rFonts w:ascii="Times New Roman" w:hAnsi="Times New Roman"/>
          <w:sz w:val="20"/>
          <w:szCs w:val="20"/>
        </w:rPr>
      </w:pPr>
      <w:r w:rsidRPr="002A0E3C">
        <w:rPr>
          <w:rFonts w:ascii="Times New Roman" w:hAnsi="Times New Roman" w:cs="Arial"/>
          <w:sz w:val="20"/>
          <w:szCs w:val="20"/>
          <w:lang w:val="en-US"/>
        </w:rPr>
        <w:t xml:space="preserve">Note: </w:t>
      </w:r>
      <w:r>
        <w:rPr>
          <w:rFonts w:ascii="Times New Roman" w:hAnsi="Times New Roman" w:cs="Arial"/>
          <w:sz w:val="20"/>
          <w:szCs w:val="20"/>
          <w:lang w:val="en-US"/>
        </w:rPr>
        <w:t>see Supplementary Fig</w:t>
      </w:r>
      <w:r w:rsidR="005B40D0">
        <w:rPr>
          <w:rFonts w:ascii="Times New Roman" w:hAnsi="Times New Roman" w:cs="Arial"/>
          <w:sz w:val="20"/>
          <w:szCs w:val="20"/>
          <w:lang w:val="en-US"/>
        </w:rPr>
        <w:t xml:space="preserve">. </w:t>
      </w:r>
      <w:r>
        <w:rPr>
          <w:rFonts w:ascii="Times New Roman" w:hAnsi="Times New Roman" w:cs="Arial"/>
          <w:sz w:val="20"/>
          <w:szCs w:val="20"/>
          <w:lang w:val="en-US"/>
        </w:rPr>
        <w:t xml:space="preserve">1; </w:t>
      </w:r>
      <w:r w:rsidR="00C81F99" w:rsidRPr="00E7346B">
        <w:rPr>
          <w:rFonts w:ascii="Times New Roman" w:hAnsi="Times New Roman"/>
          <w:sz w:val="20"/>
          <w:szCs w:val="20"/>
        </w:rPr>
        <w:t>remaining sample size 5</w:t>
      </w:r>
      <w:r w:rsidRPr="00E7346B">
        <w:rPr>
          <w:rFonts w:ascii="Times New Roman" w:hAnsi="Times New Roman"/>
          <w:sz w:val="20"/>
          <w:szCs w:val="20"/>
        </w:rPr>
        <w:t>,</w:t>
      </w:r>
      <w:r w:rsidR="00C3735B">
        <w:rPr>
          <w:rFonts w:ascii="Times New Roman" w:hAnsi="Times New Roman"/>
          <w:sz w:val="20"/>
          <w:szCs w:val="20"/>
        </w:rPr>
        <w:t>218</w:t>
      </w:r>
      <w:r w:rsidR="00C81F99" w:rsidRPr="00E7346B">
        <w:rPr>
          <w:rFonts w:ascii="Times New Roman" w:hAnsi="Times New Roman"/>
          <w:sz w:val="20"/>
          <w:szCs w:val="20"/>
        </w:rPr>
        <w:t xml:space="preserve"> men and </w:t>
      </w:r>
      <w:r w:rsidR="00C3735B">
        <w:rPr>
          <w:rFonts w:ascii="Times New Roman" w:hAnsi="Times New Roman"/>
          <w:sz w:val="20"/>
          <w:szCs w:val="20"/>
        </w:rPr>
        <w:t>3,802</w:t>
      </w:r>
      <w:r w:rsidR="00C81F99" w:rsidRPr="00E7346B">
        <w:rPr>
          <w:rFonts w:ascii="Times New Roman" w:hAnsi="Times New Roman"/>
          <w:sz w:val="20"/>
          <w:szCs w:val="20"/>
        </w:rPr>
        <w:t xml:space="preserve"> women</w:t>
      </w:r>
    </w:p>
    <w:p w14:paraId="64E35174" w14:textId="77777777" w:rsidR="00E7346B" w:rsidRDefault="00E7346B" w:rsidP="00E7346B">
      <w:pPr>
        <w:spacing w:after="0"/>
        <w:rPr>
          <w:rFonts w:ascii="Times New Roman" w:hAnsi="Times New Roman"/>
          <w:sz w:val="20"/>
          <w:szCs w:val="20"/>
        </w:rPr>
      </w:pPr>
    </w:p>
    <w:p w14:paraId="383D4B37" w14:textId="77777777" w:rsidR="00440ABF" w:rsidRDefault="00440ABF" w:rsidP="00E7346B">
      <w:pPr>
        <w:spacing w:after="0"/>
        <w:rPr>
          <w:rFonts w:ascii="Times New Roman" w:hAnsi="Times New Roman"/>
          <w:sz w:val="20"/>
          <w:szCs w:val="20"/>
        </w:rPr>
      </w:pPr>
    </w:p>
    <w:p w14:paraId="4C6E12F4" w14:textId="77777777" w:rsidR="00E01EF8" w:rsidRDefault="00E01EF8" w:rsidP="00E7346B">
      <w:pPr>
        <w:spacing w:after="0"/>
        <w:rPr>
          <w:rFonts w:ascii="Times New Roman" w:hAnsi="Times New Roman"/>
          <w:sz w:val="20"/>
          <w:szCs w:val="20"/>
        </w:rPr>
      </w:pPr>
    </w:p>
    <w:p w14:paraId="6DE64C6F" w14:textId="49BF5806" w:rsidR="003E1889" w:rsidRDefault="00E7346B" w:rsidP="00E7346B">
      <w:pPr>
        <w:spacing w:after="0"/>
        <w:rPr>
          <w:rFonts w:ascii="Times New Roman" w:hAnsi="Times New Roman"/>
          <w:sz w:val="24"/>
          <w:szCs w:val="24"/>
        </w:rPr>
      </w:pPr>
      <w:r w:rsidRPr="00E7346B">
        <w:rPr>
          <w:rFonts w:ascii="Times New Roman" w:hAnsi="Times New Roman" w:cs="Arial"/>
          <w:b/>
          <w:sz w:val="24"/>
          <w:szCs w:val="24"/>
          <w:lang w:val="en-US"/>
        </w:rPr>
        <w:t xml:space="preserve">Supplementary </w:t>
      </w:r>
      <w:r w:rsidR="000F3937">
        <w:rPr>
          <w:rFonts w:ascii="Times New Roman" w:hAnsi="Times New Roman" w:cs="Arial"/>
          <w:b/>
          <w:sz w:val="24"/>
          <w:szCs w:val="24"/>
          <w:lang w:val="en-US"/>
        </w:rPr>
        <w:t>Fig</w:t>
      </w:r>
      <w:r w:rsidR="005B40D0">
        <w:rPr>
          <w:rFonts w:ascii="Times New Roman" w:hAnsi="Times New Roman" w:cs="Arial"/>
          <w:b/>
          <w:sz w:val="24"/>
          <w:szCs w:val="24"/>
          <w:lang w:val="en-US"/>
        </w:rPr>
        <w:t>.</w:t>
      </w:r>
      <w:r w:rsidR="000F3937">
        <w:rPr>
          <w:rFonts w:ascii="Times New Roman" w:hAnsi="Times New Roman" w:cs="Arial"/>
          <w:b/>
          <w:sz w:val="24"/>
          <w:szCs w:val="24"/>
          <w:lang w:val="en-US"/>
        </w:rPr>
        <w:t xml:space="preserve"> 4</w:t>
      </w:r>
      <w:r w:rsidRPr="003E1889">
        <w:rPr>
          <w:rFonts w:ascii="Times New Roman" w:hAnsi="Times New Roman" w:cs="Arial"/>
          <w:sz w:val="24"/>
          <w:szCs w:val="24"/>
          <w:lang w:val="en-US"/>
        </w:rPr>
        <w:t xml:space="preserve"> S</w:t>
      </w:r>
      <w:proofErr w:type="spellStart"/>
      <w:r w:rsidRPr="003E1889">
        <w:rPr>
          <w:rFonts w:ascii="Times New Roman" w:hAnsi="Times New Roman"/>
          <w:sz w:val="24"/>
          <w:szCs w:val="24"/>
        </w:rPr>
        <w:t>ensitivity</w:t>
      </w:r>
      <w:proofErr w:type="spellEnd"/>
      <w:r w:rsidRPr="003E1889">
        <w:rPr>
          <w:rFonts w:ascii="Times New Roman" w:hAnsi="Times New Roman"/>
          <w:sz w:val="24"/>
          <w:szCs w:val="24"/>
        </w:rPr>
        <w:t xml:space="preserve"> analysis, excluding people mostly working in the household</w:t>
      </w:r>
    </w:p>
    <w:p w14:paraId="5D7A22D3" w14:textId="34EBD9ED" w:rsidR="00C3735B" w:rsidRDefault="00E7346B" w:rsidP="00E7346B">
      <w:pPr>
        <w:spacing w:after="0"/>
      </w:pPr>
      <w:r w:rsidRPr="002A0E3C">
        <w:rPr>
          <w:rFonts w:ascii="Times New Roman" w:hAnsi="Times New Roman" w:cs="Arial"/>
          <w:sz w:val="20"/>
          <w:szCs w:val="20"/>
          <w:lang w:val="en-US"/>
        </w:rPr>
        <w:t xml:space="preserve">Note: </w:t>
      </w:r>
      <w:r>
        <w:rPr>
          <w:rFonts w:ascii="Times New Roman" w:hAnsi="Times New Roman" w:cs="Arial"/>
          <w:sz w:val="20"/>
          <w:szCs w:val="20"/>
          <w:lang w:val="en-US"/>
        </w:rPr>
        <w:t>see Supplementary Fig</w:t>
      </w:r>
      <w:r w:rsidR="005B40D0">
        <w:rPr>
          <w:rFonts w:ascii="Times New Roman" w:hAnsi="Times New Roman" w:cs="Arial"/>
          <w:sz w:val="20"/>
          <w:szCs w:val="20"/>
          <w:lang w:val="en-US"/>
        </w:rPr>
        <w:t xml:space="preserve">. </w:t>
      </w:r>
      <w:r>
        <w:rPr>
          <w:rFonts w:ascii="Times New Roman" w:hAnsi="Times New Roman" w:cs="Arial"/>
          <w:sz w:val="20"/>
          <w:szCs w:val="20"/>
          <w:lang w:val="en-US"/>
        </w:rPr>
        <w:t xml:space="preserve">1; </w:t>
      </w:r>
      <w:r w:rsidRPr="00E7346B">
        <w:rPr>
          <w:rFonts w:ascii="Times New Roman" w:hAnsi="Times New Roman"/>
          <w:sz w:val="20"/>
          <w:szCs w:val="20"/>
        </w:rPr>
        <w:t xml:space="preserve">remaining sample size </w:t>
      </w:r>
      <w:r w:rsidR="00C3735B">
        <w:rPr>
          <w:rFonts w:ascii="Times New Roman" w:hAnsi="Times New Roman"/>
          <w:sz w:val="20"/>
          <w:szCs w:val="20"/>
        </w:rPr>
        <w:t>8,551</w:t>
      </w:r>
      <w:r w:rsidRPr="00E7346B">
        <w:rPr>
          <w:rFonts w:ascii="Times New Roman" w:hAnsi="Times New Roman"/>
          <w:sz w:val="20"/>
          <w:szCs w:val="20"/>
        </w:rPr>
        <w:t xml:space="preserve"> men and </w:t>
      </w:r>
      <w:r w:rsidR="00C3735B">
        <w:rPr>
          <w:rFonts w:ascii="Times New Roman" w:hAnsi="Times New Roman"/>
          <w:sz w:val="20"/>
          <w:szCs w:val="20"/>
        </w:rPr>
        <w:t>8,949</w:t>
      </w:r>
      <w:r w:rsidRPr="00E7346B">
        <w:rPr>
          <w:rFonts w:ascii="Times New Roman" w:hAnsi="Times New Roman"/>
          <w:sz w:val="20"/>
          <w:szCs w:val="20"/>
        </w:rPr>
        <w:t xml:space="preserve"> women</w:t>
      </w:r>
    </w:p>
    <w:sectPr w:rsidR="00C3735B" w:rsidSect="00E7346B">
      <w:footerReference w:type="default" r:id="rId7"/>
      <w:pgSz w:w="11906" w:h="16838"/>
      <w:pgMar w:top="1418" w:right="1418" w:bottom="1418" w:left="1418" w:header="0" w:footer="709" w:gutter="0"/>
      <w:cols w:space="720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E77CFD" w15:done="0"/>
  <w15:commentEx w15:paraId="12F5C258" w15:paraIdParent="04E77C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1BE50" w14:textId="77777777" w:rsidR="00AD41BD" w:rsidRDefault="00AD41BD">
      <w:pPr>
        <w:spacing w:after="0" w:line="240" w:lineRule="auto"/>
      </w:pPr>
      <w:r>
        <w:separator/>
      </w:r>
    </w:p>
  </w:endnote>
  <w:endnote w:type="continuationSeparator" w:id="0">
    <w:p w14:paraId="6F0B80C7" w14:textId="77777777" w:rsidR="00AD41BD" w:rsidRDefault="00AD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AEE49" w14:textId="0F316557" w:rsidR="00B00013" w:rsidRDefault="002860F3">
    <w:pPr>
      <w:pStyle w:val="Footer"/>
      <w:jc w:val="center"/>
    </w:pPr>
  </w:p>
  <w:p w14:paraId="73046A17" w14:textId="77777777" w:rsidR="00B00013" w:rsidRDefault="0028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8C58D" w14:textId="77777777" w:rsidR="00AD41BD" w:rsidRDefault="00AD41BD">
      <w:pPr>
        <w:spacing w:after="0" w:line="240" w:lineRule="auto"/>
      </w:pPr>
      <w:r>
        <w:separator/>
      </w:r>
    </w:p>
  </w:footnote>
  <w:footnote w:type="continuationSeparator" w:id="0">
    <w:p w14:paraId="34F9A26E" w14:textId="77777777" w:rsidR="00AD41BD" w:rsidRDefault="00AD41B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 b t c">
    <w15:presenceInfo w15:providerId="Windows Live" w15:userId="b3d03aef4f4c0014"/>
  </w15:person>
  <w15:person w15:author="Charlotte Willis-Jones">
    <w15:presenceInfo w15:providerId="None" w15:userId="Charlotte Willis-Jo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99"/>
    <w:rsid w:val="00030468"/>
    <w:rsid w:val="0005196A"/>
    <w:rsid w:val="000A3124"/>
    <w:rsid w:val="000F3937"/>
    <w:rsid w:val="001B6B87"/>
    <w:rsid w:val="002860F3"/>
    <w:rsid w:val="002A0E3C"/>
    <w:rsid w:val="003E1889"/>
    <w:rsid w:val="00440ABF"/>
    <w:rsid w:val="00441D8F"/>
    <w:rsid w:val="00492459"/>
    <w:rsid w:val="00520A93"/>
    <w:rsid w:val="00526CFD"/>
    <w:rsid w:val="005B40D0"/>
    <w:rsid w:val="006476B2"/>
    <w:rsid w:val="0072167F"/>
    <w:rsid w:val="007223C4"/>
    <w:rsid w:val="00A159D2"/>
    <w:rsid w:val="00AC5165"/>
    <w:rsid w:val="00AD41BD"/>
    <w:rsid w:val="00B73611"/>
    <w:rsid w:val="00C3735B"/>
    <w:rsid w:val="00C50562"/>
    <w:rsid w:val="00C81F99"/>
    <w:rsid w:val="00D73176"/>
    <w:rsid w:val="00E01EF8"/>
    <w:rsid w:val="00E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E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C81F99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81F99"/>
    <w:pPr>
      <w:tabs>
        <w:tab w:val="center" w:pos="4513"/>
        <w:tab w:val="right" w:pos="9026"/>
      </w:tabs>
      <w:suppressAutoHyphens/>
      <w:spacing w:after="0"/>
    </w:pPr>
  </w:style>
  <w:style w:type="character" w:customStyle="1" w:styleId="FooterChar1">
    <w:name w:val="Footer Char1"/>
    <w:basedOn w:val="DefaultParagraphFont"/>
    <w:uiPriority w:val="99"/>
    <w:semiHidden/>
    <w:rsid w:val="00C81F99"/>
    <w:rPr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3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17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176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76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519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C4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C81F99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81F99"/>
    <w:pPr>
      <w:tabs>
        <w:tab w:val="center" w:pos="4513"/>
        <w:tab w:val="right" w:pos="9026"/>
      </w:tabs>
      <w:suppressAutoHyphens/>
      <w:spacing w:after="0"/>
    </w:pPr>
  </w:style>
  <w:style w:type="character" w:customStyle="1" w:styleId="FooterChar1">
    <w:name w:val="Footer Char1"/>
    <w:basedOn w:val="DefaultParagraphFont"/>
    <w:uiPriority w:val="99"/>
    <w:semiHidden/>
    <w:rsid w:val="00C81F99"/>
    <w:rPr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3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1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17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176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76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519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C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EUI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rhoffman</cp:lastModifiedBy>
  <cp:revision>4</cp:revision>
  <cp:lastPrinted>2017-04-20T13:03:00Z</cp:lastPrinted>
  <dcterms:created xsi:type="dcterms:W3CDTF">2017-10-12T15:27:00Z</dcterms:created>
  <dcterms:modified xsi:type="dcterms:W3CDTF">2017-10-17T09:53:00Z</dcterms:modified>
</cp:coreProperties>
</file>