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FD2" w:rsidRPr="00306E8C" w:rsidRDefault="00F51FD2" w:rsidP="00F51FD2">
      <w:pPr>
        <w:pStyle w:val="berschrift1"/>
        <w:ind w:firstLine="0"/>
        <w:rPr>
          <w:b/>
          <w:lang w:val="en-GB"/>
        </w:rPr>
      </w:pPr>
      <w:bookmarkStart w:id="0" w:name="_GoBack"/>
      <w:bookmarkEnd w:id="0"/>
      <w:r w:rsidRPr="00306E8C">
        <w:rPr>
          <w:rFonts w:ascii="Book Antiqua" w:hAnsi="Book Antiqua"/>
          <w:b/>
          <w:lang w:val="en-GB"/>
        </w:rPr>
        <w:t>Supplementary Material</w:t>
      </w:r>
    </w:p>
    <w:p w:rsidR="00F51FD2" w:rsidRPr="00306E8C" w:rsidRDefault="00F51FD2" w:rsidP="00F51FD2">
      <w:pPr>
        <w:pStyle w:val="Beschriftung"/>
        <w:jc w:val="center"/>
        <w:rPr>
          <w:b w:val="0"/>
          <w:color w:val="auto"/>
          <w:sz w:val="24"/>
          <w:lang w:val="en-GB"/>
        </w:rPr>
      </w:pPr>
      <w:bookmarkStart w:id="1" w:name="_Ref515874763"/>
      <w:bookmarkStart w:id="2" w:name="_Ref515354755"/>
      <w:bookmarkStart w:id="3" w:name="_Ref515870386"/>
      <w:r w:rsidRPr="00306E8C">
        <w:rPr>
          <w:b w:val="0"/>
          <w:color w:val="auto"/>
          <w:sz w:val="24"/>
          <w:lang w:val="en-GB"/>
        </w:rPr>
        <w:t>Figure S</w:t>
      </w:r>
      <w:r w:rsidRPr="00306E8C">
        <w:rPr>
          <w:b w:val="0"/>
          <w:color w:val="auto"/>
          <w:sz w:val="24"/>
          <w:lang w:val="en-GB"/>
        </w:rPr>
        <w:fldChar w:fldCharType="begin"/>
      </w:r>
      <w:r w:rsidRPr="00306E8C">
        <w:rPr>
          <w:b w:val="0"/>
          <w:color w:val="auto"/>
          <w:sz w:val="24"/>
          <w:lang w:val="en-GB"/>
        </w:rPr>
        <w:instrText xml:space="preserve"> SEQ Figure_S \* ARABIC </w:instrText>
      </w:r>
      <w:r w:rsidRPr="00306E8C">
        <w:rPr>
          <w:b w:val="0"/>
          <w:color w:val="auto"/>
          <w:sz w:val="24"/>
          <w:lang w:val="en-GB"/>
        </w:rPr>
        <w:fldChar w:fldCharType="separate"/>
      </w:r>
      <w:r w:rsidRPr="00306E8C">
        <w:rPr>
          <w:b w:val="0"/>
          <w:color w:val="auto"/>
          <w:sz w:val="24"/>
          <w:lang w:val="en-GB"/>
        </w:rPr>
        <w:t>1</w:t>
      </w:r>
      <w:r w:rsidRPr="00306E8C">
        <w:rPr>
          <w:b w:val="0"/>
          <w:color w:val="auto"/>
          <w:sz w:val="24"/>
          <w:lang w:val="en-GB"/>
        </w:rPr>
        <w:fldChar w:fldCharType="end"/>
      </w:r>
      <w:bookmarkEnd w:id="1"/>
      <w:r w:rsidRPr="00306E8C">
        <w:rPr>
          <w:b w:val="0"/>
          <w:color w:val="auto"/>
          <w:sz w:val="24"/>
          <w:lang w:val="en-GB"/>
        </w:rPr>
        <w:t>: Counties, provinces, and regions of China</w:t>
      </w:r>
      <w:bookmarkEnd w:id="2"/>
      <w:bookmarkEnd w:id="3"/>
    </w:p>
    <w:p w:rsidR="00F51FD2" w:rsidRPr="00306E8C" w:rsidRDefault="00F51FD2" w:rsidP="00F51FD2">
      <w:pPr>
        <w:ind w:firstLine="0"/>
        <w:rPr>
          <w:lang w:val="en-GB"/>
        </w:rPr>
      </w:pPr>
      <w:r w:rsidRPr="00501E4E">
        <w:rPr>
          <w:noProof/>
          <w:lang w:val="de-DE" w:eastAsia="de-DE"/>
        </w:rPr>
        <w:drawing>
          <wp:inline distT="0" distB="0" distL="0" distR="0" wp14:anchorId="41B22E37" wp14:editId="6BA3DE27">
            <wp:extent cx="5814646" cy="436098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vince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654" cy="439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FD2" w:rsidRPr="00306E8C" w:rsidRDefault="00F51FD2" w:rsidP="00F51FD2">
      <w:pPr>
        <w:pStyle w:val="Beschriftung"/>
        <w:rPr>
          <w:lang w:val="en-GB"/>
        </w:rPr>
      </w:pPr>
      <w:bookmarkStart w:id="4" w:name="_Ref515355102"/>
      <w:r w:rsidRPr="00306E8C">
        <w:rPr>
          <w:lang w:val="en-GB"/>
        </w:rPr>
        <w:br w:type="page"/>
      </w:r>
    </w:p>
    <w:p w:rsidR="00F51FD2" w:rsidRPr="00306E8C" w:rsidRDefault="00F51FD2" w:rsidP="00F51FD2">
      <w:pPr>
        <w:pStyle w:val="Beschriftung"/>
        <w:jc w:val="center"/>
        <w:rPr>
          <w:b w:val="0"/>
          <w:color w:val="auto"/>
          <w:sz w:val="24"/>
          <w:lang w:val="en-GB"/>
        </w:rPr>
      </w:pPr>
      <w:bookmarkStart w:id="5" w:name="_Ref515613368"/>
      <w:bookmarkStart w:id="6" w:name="_Ref515874808"/>
      <w:bookmarkStart w:id="7" w:name="_Ref515613360"/>
      <w:r w:rsidRPr="00306E8C">
        <w:rPr>
          <w:b w:val="0"/>
          <w:color w:val="auto"/>
          <w:sz w:val="24"/>
          <w:lang w:val="en-GB"/>
        </w:rPr>
        <w:lastRenderedPageBreak/>
        <w:t>Figure S</w:t>
      </w:r>
      <w:bookmarkEnd w:id="4"/>
      <w:bookmarkEnd w:id="5"/>
      <w:r w:rsidRPr="00306E8C">
        <w:rPr>
          <w:b w:val="0"/>
          <w:color w:val="auto"/>
          <w:sz w:val="24"/>
          <w:lang w:val="en-GB"/>
        </w:rPr>
        <w:fldChar w:fldCharType="begin"/>
      </w:r>
      <w:r w:rsidRPr="00306E8C">
        <w:rPr>
          <w:b w:val="0"/>
          <w:color w:val="auto"/>
          <w:sz w:val="24"/>
          <w:lang w:val="en-GB"/>
        </w:rPr>
        <w:instrText xml:space="preserve"> SEQ Figure_S \* ARABIC </w:instrText>
      </w:r>
      <w:r w:rsidRPr="00306E8C">
        <w:rPr>
          <w:b w:val="0"/>
          <w:color w:val="auto"/>
          <w:sz w:val="24"/>
          <w:lang w:val="en-GB"/>
        </w:rPr>
        <w:fldChar w:fldCharType="separate"/>
      </w:r>
      <w:r w:rsidRPr="00306E8C">
        <w:rPr>
          <w:b w:val="0"/>
          <w:color w:val="auto"/>
          <w:sz w:val="24"/>
          <w:lang w:val="en-GB"/>
        </w:rPr>
        <w:t>2</w:t>
      </w:r>
      <w:r w:rsidRPr="00306E8C">
        <w:rPr>
          <w:b w:val="0"/>
          <w:color w:val="auto"/>
          <w:sz w:val="24"/>
          <w:lang w:val="en-GB"/>
        </w:rPr>
        <w:fldChar w:fldCharType="end"/>
      </w:r>
      <w:bookmarkEnd w:id="6"/>
      <w:r w:rsidRPr="00306E8C">
        <w:rPr>
          <w:b w:val="0"/>
          <w:color w:val="auto"/>
          <w:sz w:val="24"/>
          <w:lang w:val="en-GB"/>
        </w:rPr>
        <w:t>: LISA maps</w:t>
      </w:r>
      <w:bookmarkEnd w:id="7"/>
      <w:r w:rsidRPr="00306E8C">
        <w:rPr>
          <w:b w:val="0"/>
          <w:color w:val="auto"/>
          <w:sz w:val="24"/>
          <w:lang w:val="en-GB"/>
        </w:rPr>
        <w:t xml:space="preserve"> of harvested areas of crops</w:t>
      </w:r>
    </w:p>
    <w:p w:rsidR="00F51FD2" w:rsidRPr="00306E8C" w:rsidRDefault="00F51FD2" w:rsidP="00F51FD2">
      <w:pPr>
        <w:rPr>
          <w:lang w:val="en-GB"/>
        </w:rPr>
      </w:pPr>
    </w:p>
    <w:p w:rsidR="00F51FD2" w:rsidRPr="00306E8C" w:rsidRDefault="00F51FD2" w:rsidP="00F51FD2">
      <w:pPr>
        <w:ind w:firstLine="0"/>
        <w:rPr>
          <w:lang w:val="en-GB"/>
        </w:rPr>
      </w:pPr>
      <w:r w:rsidRPr="00501E4E">
        <w:rPr>
          <w:noProof/>
          <w:lang w:val="de-DE" w:eastAsia="de-DE"/>
        </w:rPr>
        <w:drawing>
          <wp:inline distT="0" distB="0" distL="0" distR="0" wp14:anchorId="088E66C6" wp14:editId="5A095CEC">
            <wp:extent cx="2926080" cy="21945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s1980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E4E">
        <w:rPr>
          <w:noProof/>
          <w:lang w:val="de-DE" w:eastAsia="de-DE"/>
        </w:rPr>
        <w:drawing>
          <wp:inline distT="0" distB="0" distL="0" distR="0" wp14:anchorId="343E9CE8" wp14:editId="61163B95">
            <wp:extent cx="2926080" cy="219456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s1990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E4E">
        <w:rPr>
          <w:noProof/>
          <w:lang w:val="de-DE" w:eastAsia="de-DE"/>
        </w:rPr>
        <w:drawing>
          <wp:inline distT="0" distB="0" distL="0" distR="0" wp14:anchorId="2CF8B206" wp14:editId="5BD2636C">
            <wp:extent cx="2926080" cy="219456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s2000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E4E">
        <w:rPr>
          <w:noProof/>
          <w:lang w:val="de-DE" w:eastAsia="de-DE"/>
        </w:rPr>
        <w:drawing>
          <wp:inline distT="0" distB="0" distL="0" distR="0" wp14:anchorId="313D1EDF" wp14:editId="10D6156D">
            <wp:extent cx="2926080" cy="2194560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s2010_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FD2" w:rsidRPr="00306E8C" w:rsidRDefault="00F51FD2" w:rsidP="00F51FD2">
      <w:pPr>
        <w:jc w:val="center"/>
        <w:rPr>
          <w:lang w:val="en-GB"/>
        </w:rPr>
      </w:pPr>
      <w:r w:rsidRPr="00306E8C">
        <w:rPr>
          <w:lang w:val="en-GB"/>
        </w:rPr>
        <w:t xml:space="preserve">Figure S2a: LISA maps of harvested area for all five crops combined </w:t>
      </w:r>
    </w:p>
    <w:p w:rsidR="00F51FD2" w:rsidRPr="00306E8C" w:rsidRDefault="00F51FD2" w:rsidP="00F51FD2">
      <w:pPr>
        <w:jc w:val="center"/>
        <w:rPr>
          <w:lang w:val="en-GB"/>
        </w:rPr>
      </w:pPr>
    </w:p>
    <w:p w:rsidR="00F51FD2" w:rsidRPr="00306E8C" w:rsidRDefault="00F51FD2" w:rsidP="00F51FD2">
      <w:pPr>
        <w:ind w:firstLine="0"/>
        <w:rPr>
          <w:lang w:val="en-GB"/>
        </w:rPr>
      </w:pPr>
      <w:r w:rsidRPr="00501E4E">
        <w:rPr>
          <w:noProof/>
          <w:lang w:val="de-DE" w:eastAsia="de-DE"/>
        </w:rPr>
        <w:lastRenderedPageBreak/>
        <w:drawing>
          <wp:inline distT="0" distB="0" distL="0" distR="0" wp14:anchorId="0000A3DC" wp14:editId="339AD74F">
            <wp:extent cx="2926080" cy="2194560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at1980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E4E">
        <w:rPr>
          <w:noProof/>
          <w:lang w:val="de-DE" w:eastAsia="de-DE"/>
        </w:rPr>
        <w:drawing>
          <wp:inline distT="0" distB="0" distL="0" distR="0" wp14:anchorId="5642C7DE" wp14:editId="5AFA72ED">
            <wp:extent cx="2926080" cy="2194560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at199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E4E">
        <w:rPr>
          <w:noProof/>
          <w:lang w:val="de-DE" w:eastAsia="de-DE"/>
        </w:rPr>
        <w:drawing>
          <wp:inline distT="0" distB="0" distL="0" distR="0" wp14:anchorId="5517E1C9" wp14:editId="103DC73F">
            <wp:extent cx="2926080" cy="2194560"/>
            <wp:effectExtent l="0" t="0" r="762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at2000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E4E">
        <w:rPr>
          <w:noProof/>
          <w:lang w:val="de-DE" w:eastAsia="de-DE"/>
        </w:rPr>
        <w:drawing>
          <wp:inline distT="0" distB="0" distL="0" distR="0" wp14:anchorId="2D116C97" wp14:editId="107FB93F">
            <wp:extent cx="2926080" cy="2194560"/>
            <wp:effectExtent l="0" t="0" r="762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at201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FD2" w:rsidRPr="00306E8C" w:rsidRDefault="00F51FD2" w:rsidP="00F51FD2">
      <w:pPr>
        <w:jc w:val="center"/>
        <w:rPr>
          <w:lang w:val="en-GB"/>
        </w:rPr>
      </w:pPr>
      <w:r w:rsidRPr="00306E8C">
        <w:rPr>
          <w:lang w:val="en-GB"/>
        </w:rPr>
        <w:t xml:space="preserve">Figure S2b: LISA </w:t>
      </w:r>
      <w:r w:rsidRPr="00501E4E">
        <w:rPr>
          <w:lang w:val="en-GB"/>
        </w:rPr>
        <w:t>maps of</w:t>
      </w:r>
      <w:r w:rsidRPr="00306E8C">
        <w:rPr>
          <w:lang w:val="en-GB"/>
        </w:rPr>
        <w:t xml:space="preserve"> harvested area</w:t>
      </w:r>
      <w:r w:rsidRPr="00501E4E">
        <w:rPr>
          <w:lang w:val="en-GB"/>
        </w:rPr>
        <w:t xml:space="preserve"> for wheat</w:t>
      </w:r>
    </w:p>
    <w:p w:rsidR="00F51FD2" w:rsidRPr="00306E8C" w:rsidRDefault="00F51FD2" w:rsidP="00F51FD2">
      <w:pPr>
        <w:ind w:firstLine="0"/>
        <w:rPr>
          <w:lang w:val="en-GB"/>
        </w:rPr>
      </w:pPr>
      <w:r w:rsidRPr="00501E4E">
        <w:rPr>
          <w:noProof/>
          <w:lang w:val="de-DE" w:eastAsia="de-DE"/>
        </w:rPr>
        <w:lastRenderedPageBreak/>
        <w:drawing>
          <wp:inline distT="0" distB="0" distL="0" distR="0" wp14:anchorId="0EF257F1" wp14:editId="022478EB">
            <wp:extent cx="2926080" cy="2194560"/>
            <wp:effectExtent l="0" t="0" r="762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e198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E4E">
        <w:rPr>
          <w:noProof/>
          <w:lang w:val="de-DE" w:eastAsia="de-DE"/>
        </w:rPr>
        <w:drawing>
          <wp:inline distT="0" distB="0" distL="0" distR="0" wp14:anchorId="4C3F83F8" wp14:editId="3BB6AE91">
            <wp:extent cx="2926080" cy="2194560"/>
            <wp:effectExtent l="0" t="0" r="762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e1990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E4E">
        <w:rPr>
          <w:noProof/>
          <w:lang w:val="de-DE" w:eastAsia="de-DE"/>
        </w:rPr>
        <w:drawing>
          <wp:inline distT="0" distB="0" distL="0" distR="0" wp14:anchorId="6A53C99D" wp14:editId="2B6A7D2E">
            <wp:extent cx="2926080" cy="2194560"/>
            <wp:effectExtent l="0" t="0" r="762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e2000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E4E">
        <w:rPr>
          <w:noProof/>
          <w:lang w:val="de-DE" w:eastAsia="de-DE"/>
        </w:rPr>
        <w:drawing>
          <wp:inline distT="0" distB="0" distL="0" distR="0" wp14:anchorId="2F510BD4" wp14:editId="533F8DBF">
            <wp:extent cx="2926080" cy="2194560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e2010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FD2" w:rsidRPr="00306E8C" w:rsidRDefault="00F51FD2" w:rsidP="00F51FD2">
      <w:pPr>
        <w:jc w:val="center"/>
        <w:rPr>
          <w:lang w:val="en-GB"/>
        </w:rPr>
      </w:pPr>
      <w:r w:rsidRPr="00501E4E">
        <w:rPr>
          <w:lang w:val="en-GB"/>
        </w:rPr>
        <w:t>Figure S2c</w:t>
      </w:r>
      <w:r w:rsidRPr="00306E8C">
        <w:rPr>
          <w:lang w:val="en-GB"/>
        </w:rPr>
        <w:t xml:space="preserve">: LISA </w:t>
      </w:r>
      <w:r w:rsidRPr="00501E4E">
        <w:rPr>
          <w:lang w:val="en-GB"/>
        </w:rPr>
        <w:t>maps of</w:t>
      </w:r>
      <w:r w:rsidRPr="00306E8C">
        <w:rPr>
          <w:lang w:val="en-GB"/>
        </w:rPr>
        <w:t xml:space="preserve"> harvested area</w:t>
      </w:r>
      <w:r w:rsidRPr="00501E4E">
        <w:rPr>
          <w:lang w:val="en-GB"/>
        </w:rPr>
        <w:t xml:space="preserve"> for rice</w:t>
      </w:r>
    </w:p>
    <w:p w:rsidR="00F51FD2" w:rsidRPr="00306E8C" w:rsidRDefault="00F51FD2" w:rsidP="00F51FD2">
      <w:pPr>
        <w:ind w:firstLine="0"/>
        <w:rPr>
          <w:lang w:val="en-GB"/>
        </w:rPr>
      </w:pPr>
      <w:r w:rsidRPr="00501E4E">
        <w:rPr>
          <w:noProof/>
          <w:lang w:val="de-DE" w:eastAsia="de-DE"/>
        </w:rPr>
        <w:lastRenderedPageBreak/>
        <w:drawing>
          <wp:inline distT="0" distB="0" distL="0" distR="0" wp14:anchorId="482DA809" wp14:editId="1A943E55">
            <wp:extent cx="2926080" cy="2194560"/>
            <wp:effectExtent l="0" t="0" r="762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ybean1980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E4E">
        <w:rPr>
          <w:noProof/>
          <w:lang w:val="de-DE" w:eastAsia="de-DE"/>
        </w:rPr>
        <w:drawing>
          <wp:inline distT="0" distB="0" distL="0" distR="0" wp14:anchorId="44280D48" wp14:editId="4F926B28">
            <wp:extent cx="2926080" cy="2194560"/>
            <wp:effectExtent l="0" t="0" r="762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ybean1990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E4E">
        <w:rPr>
          <w:noProof/>
          <w:lang w:val="de-DE" w:eastAsia="de-DE"/>
        </w:rPr>
        <w:drawing>
          <wp:inline distT="0" distB="0" distL="0" distR="0" wp14:anchorId="3F25BBDE" wp14:editId="25A5016D">
            <wp:extent cx="2926080" cy="2194560"/>
            <wp:effectExtent l="0" t="0" r="762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ybean2000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E4E">
        <w:rPr>
          <w:noProof/>
          <w:lang w:val="de-DE" w:eastAsia="de-DE"/>
        </w:rPr>
        <w:drawing>
          <wp:inline distT="0" distB="0" distL="0" distR="0" wp14:anchorId="46347AE7" wp14:editId="665BD49F">
            <wp:extent cx="2926080" cy="2194560"/>
            <wp:effectExtent l="0" t="0" r="762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ybean2010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FD2" w:rsidRPr="00306E8C" w:rsidRDefault="00F51FD2" w:rsidP="00F51FD2">
      <w:pPr>
        <w:ind w:firstLine="0"/>
        <w:jc w:val="center"/>
        <w:rPr>
          <w:lang w:val="en-GB"/>
        </w:rPr>
      </w:pPr>
      <w:r w:rsidRPr="00306E8C">
        <w:rPr>
          <w:lang w:val="en-GB"/>
        </w:rPr>
        <w:t xml:space="preserve">Figure S2d: LISA </w:t>
      </w:r>
      <w:r w:rsidRPr="00501E4E">
        <w:rPr>
          <w:lang w:val="en-GB"/>
        </w:rPr>
        <w:t>maps of</w:t>
      </w:r>
      <w:r w:rsidRPr="00306E8C">
        <w:rPr>
          <w:lang w:val="en-GB"/>
        </w:rPr>
        <w:t xml:space="preserve"> harvested area</w:t>
      </w:r>
      <w:r w:rsidRPr="00501E4E">
        <w:rPr>
          <w:lang w:val="en-GB"/>
        </w:rPr>
        <w:t xml:space="preserve"> for soybean</w:t>
      </w:r>
    </w:p>
    <w:p w:rsidR="00F51FD2" w:rsidRPr="00306E8C" w:rsidRDefault="00F51FD2" w:rsidP="00F51FD2">
      <w:pPr>
        <w:jc w:val="center"/>
        <w:rPr>
          <w:lang w:val="en-GB"/>
        </w:rPr>
      </w:pPr>
    </w:p>
    <w:p w:rsidR="00F51FD2" w:rsidRPr="00306E8C" w:rsidRDefault="00F51FD2" w:rsidP="00F51FD2">
      <w:pPr>
        <w:ind w:firstLine="0"/>
        <w:rPr>
          <w:lang w:val="en-GB"/>
        </w:rPr>
      </w:pPr>
      <w:r w:rsidRPr="00501E4E">
        <w:rPr>
          <w:noProof/>
          <w:lang w:val="de-DE" w:eastAsia="de-DE"/>
        </w:rPr>
        <w:lastRenderedPageBreak/>
        <w:drawing>
          <wp:inline distT="0" distB="0" distL="0" distR="0" wp14:anchorId="6BF8B665" wp14:editId="3F7A2A57">
            <wp:extent cx="2926080" cy="219456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ato1980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E4E">
        <w:rPr>
          <w:noProof/>
          <w:lang w:val="de-DE" w:eastAsia="de-DE"/>
        </w:rPr>
        <w:drawing>
          <wp:inline distT="0" distB="0" distL="0" distR="0" wp14:anchorId="4CB729F1" wp14:editId="29D0D054">
            <wp:extent cx="2926080" cy="219456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ato1990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E4E">
        <w:rPr>
          <w:noProof/>
          <w:lang w:val="de-DE" w:eastAsia="de-DE"/>
        </w:rPr>
        <w:drawing>
          <wp:inline distT="0" distB="0" distL="0" distR="0" wp14:anchorId="4AD4EED2" wp14:editId="65DAD2FE">
            <wp:extent cx="2926080" cy="219456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ato200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E4E">
        <w:rPr>
          <w:noProof/>
          <w:lang w:val="de-DE" w:eastAsia="de-DE"/>
        </w:rPr>
        <w:drawing>
          <wp:inline distT="0" distB="0" distL="0" distR="0" wp14:anchorId="16DD38E9" wp14:editId="3FDD05EE">
            <wp:extent cx="2926080" cy="219456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ato2010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FD2" w:rsidRPr="00306E8C" w:rsidRDefault="00F51FD2" w:rsidP="00F51FD2">
      <w:pPr>
        <w:ind w:firstLine="0"/>
        <w:jc w:val="center"/>
        <w:rPr>
          <w:lang w:val="en-GB"/>
        </w:rPr>
      </w:pPr>
      <w:r w:rsidRPr="00501E4E">
        <w:rPr>
          <w:lang w:val="en-GB"/>
        </w:rPr>
        <w:t>Figure S2e</w:t>
      </w:r>
      <w:r w:rsidRPr="00306E8C">
        <w:rPr>
          <w:lang w:val="en-GB"/>
        </w:rPr>
        <w:t xml:space="preserve">: LISA </w:t>
      </w:r>
      <w:r w:rsidRPr="00501E4E">
        <w:rPr>
          <w:lang w:val="en-GB"/>
        </w:rPr>
        <w:t>maps of</w:t>
      </w:r>
      <w:r w:rsidRPr="00306E8C">
        <w:rPr>
          <w:lang w:val="en-GB"/>
        </w:rPr>
        <w:t xml:space="preserve"> harvested area</w:t>
      </w:r>
      <w:r w:rsidRPr="00501E4E">
        <w:rPr>
          <w:lang w:val="en-GB"/>
        </w:rPr>
        <w:t xml:space="preserve"> for potato</w:t>
      </w:r>
    </w:p>
    <w:p w:rsidR="00F51FD2" w:rsidRPr="00306E8C" w:rsidRDefault="00F51FD2" w:rsidP="00F51FD2">
      <w:pPr>
        <w:ind w:firstLine="0"/>
        <w:rPr>
          <w:lang w:val="en-GB"/>
        </w:rPr>
      </w:pPr>
      <w:r w:rsidRPr="00306E8C">
        <w:rPr>
          <w:lang w:val="en-GB"/>
        </w:rPr>
        <w:t xml:space="preserve"> </w:t>
      </w:r>
    </w:p>
    <w:p w:rsidR="00F51FD2" w:rsidRPr="00306E8C" w:rsidRDefault="00F51FD2" w:rsidP="00F51FD2">
      <w:pPr>
        <w:rPr>
          <w:lang w:val="en-GB"/>
        </w:rPr>
        <w:sectPr w:rsidR="00F51FD2" w:rsidRPr="00306E8C" w:rsidSect="00A76C44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F51FD2" w:rsidRPr="00306E8C" w:rsidRDefault="00F51FD2" w:rsidP="00F51FD2">
      <w:pPr>
        <w:pStyle w:val="Beschriftung"/>
        <w:ind w:firstLine="0"/>
        <w:jc w:val="center"/>
        <w:rPr>
          <w:b w:val="0"/>
          <w:color w:val="auto"/>
          <w:sz w:val="24"/>
          <w:lang w:val="en-GB"/>
        </w:rPr>
      </w:pPr>
      <w:r w:rsidRPr="00306E8C">
        <w:rPr>
          <w:b w:val="0"/>
          <w:color w:val="auto"/>
          <w:sz w:val="24"/>
          <w:lang w:val="en-GB"/>
        </w:rPr>
        <w:lastRenderedPageBreak/>
        <w:t>Figure S</w:t>
      </w:r>
      <w:r w:rsidRPr="00306E8C">
        <w:rPr>
          <w:b w:val="0"/>
          <w:color w:val="auto"/>
          <w:sz w:val="24"/>
          <w:lang w:val="en-GB"/>
        </w:rPr>
        <w:fldChar w:fldCharType="begin"/>
      </w:r>
      <w:r w:rsidRPr="00306E8C">
        <w:rPr>
          <w:b w:val="0"/>
          <w:color w:val="auto"/>
          <w:sz w:val="24"/>
          <w:lang w:val="en-GB"/>
        </w:rPr>
        <w:instrText xml:space="preserve"> SEQ Figure_S \* ARABIC </w:instrText>
      </w:r>
      <w:r w:rsidRPr="00306E8C">
        <w:rPr>
          <w:b w:val="0"/>
          <w:color w:val="auto"/>
          <w:sz w:val="24"/>
          <w:lang w:val="en-GB"/>
        </w:rPr>
        <w:fldChar w:fldCharType="separate"/>
      </w:r>
      <w:r w:rsidRPr="00306E8C">
        <w:rPr>
          <w:b w:val="0"/>
          <w:color w:val="auto"/>
          <w:sz w:val="24"/>
          <w:lang w:val="en-GB"/>
        </w:rPr>
        <w:t>3</w:t>
      </w:r>
      <w:r w:rsidRPr="00306E8C">
        <w:rPr>
          <w:b w:val="0"/>
          <w:color w:val="auto"/>
          <w:sz w:val="24"/>
          <w:lang w:val="en-GB"/>
        </w:rPr>
        <w:fldChar w:fldCharType="end"/>
      </w:r>
      <w:r w:rsidRPr="00306E8C">
        <w:rPr>
          <w:b w:val="0"/>
          <w:color w:val="auto"/>
          <w:sz w:val="24"/>
          <w:lang w:val="en-GB"/>
        </w:rPr>
        <w:t>: Generalized entropy index and the harvested area changes from 1980 to 2011</w:t>
      </w:r>
    </w:p>
    <w:p w:rsidR="00F51FD2" w:rsidRPr="00306E8C" w:rsidRDefault="00F51FD2" w:rsidP="00F51FD2">
      <w:pPr>
        <w:ind w:firstLine="0"/>
        <w:rPr>
          <w:lang w:val="en-GB"/>
        </w:rPr>
      </w:pPr>
      <w:r w:rsidRPr="00501E4E">
        <w:rPr>
          <w:noProof/>
          <w:lang w:val="de-DE" w:eastAsia="de-DE"/>
        </w:rPr>
        <w:drawing>
          <wp:inline distT="0" distB="0" distL="0" distR="0" wp14:anchorId="1D3959A6" wp14:editId="3C30F525">
            <wp:extent cx="2926080" cy="2128430"/>
            <wp:effectExtent l="0" t="0" r="7620" b="57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E8C">
        <w:rPr>
          <w:lang w:val="en-GB"/>
        </w:rPr>
        <w:t xml:space="preserve"> </w:t>
      </w:r>
      <w:r w:rsidRPr="00501E4E">
        <w:rPr>
          <w:noProof/>
          <w:lang w:val="de-DE" w:eastAsia="de-DE"/>
        </w:rPr>
        <w:drawing>
          <wp:inline distT="0" distB="0" distL="0" distR="0" wp14:anchorId="3D395CFD" wp14:editId="5CB139DD">
            <wp:extent cx="2926080" cy="2128431"/>
            <wp:effectExtent l="0" t="0" r="762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E4E">
        <w:rPr>
          <w:noProof/>
          <w:lang w:val="de-DE" w:eastAsia="de-DE"/>
        </w:rPr>
        <w:drawing>
          <wp:inline distT="0" distB="0" distL="0" distR="0" wp14:anchorId="1605B8F7" wp14:editId="7495A1DC">
            <wp:extent cx="2926080" cy="2128430"/>
            <wp:effectExtent l="0" t="0" r="7620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E8C">
        <w:rPr>
          <w:lang w:val="en-GB"/>
        </w:rPr>
        <w:t xml:space="preserve"> </w:t>
      </w:r>
      <w:r w:rsidRPr="00501E4E">
        <w:rPr>
          <w:noProof/>
          <w:lang w:val="de-DE" w:eastAsia="de-DE"/>
        </w:rPr>
        <w:drawing>
          <wp:inline distT="0" distB="0" distL="0" distR="0" wp14:anchorId="2B6F75BA" wp14:editId="6E041D56">
            <wp:extent cx="2926080" cy="2128430"/>
            <wp:effectExtent l="0" t="0" r="762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E8C">
        <w:rPr>
          <w:lang w:val="en-GB"/>
        </w:rPr>
        <w:t xml:space="preserve"> </w:t>
      </w:r>
      <w:r w:rsidRPr="00501E4E">
        <w:rPr>
          <w:noProof/>
          <w:lang w:val="de-DE" w:eastAsia="de-DE"/>
        </w:rPr>
        <w:drawing>
          <wp:inline distT="0" distB="0" distL="0" distR="0" wp14:anchorId="2EE651FF" wp14:editId="54E470E3">
            <wp:extent cx="2926080" cy="2128430"/>
            <wp:effectExtent l="0" t="0" r="762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E8C">
        <w:rPr>
          <w:lang w:val="en-GB"/>
        </w:rPr>
        <w:t xml:space="preserve"> </w:t>
      </w:r>
      <w:r w:rsidRPr="00501E4E">
        <w:rPr>
          <w:noProof/>
          <w:lang w:val="de-DE" w:eastAsia="de-DE"/>
        </w:rPr>
        <w:drawing>
          <wp:inline distT="0" distB="0" distL="0" distR="0" wp14:anchorId="5ACB98B8" wp14:editId="4FAEA608">
            <wp:extent cx="2926080" cy="2128430"/>
            <wp:effectExtent l="0" t="0" r="762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D2" w:rsidRPr="00306E8C" w:rsidRDefault="00F51FD2" w:rsidP="00F51FD2">
      <w:pPr>
        <w:rPr>
          <w:lang w:val="en-GB"/>
        </w:rPr>
        <w:sectPr w:rsidR="00F51FD2" w:rsidRPr="00306E8C" w:rsidSect="005127FF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F51FD2" w:rsidRPr="00306E8C" w:rsidRDefault="00F51FD2" w:rsidP="00F51FD2">
      <w:pPr>
        <w:pStyle w:val="Beschriftung"/>
        <w:ind w:firstLine="0"/>
        <w:jc w:val="center"/>
        <w:rPr>
          <w:b w:val="0"/>
          <w:color w:val="auto"/>
          <w:sz w:val="24"/>
          <w:lang w:val="en-GB"/>
        </w:rPr>
      </w:pPr>
      <w:bookmarkStart w:id="8" w:name="_Ref515873949"/>
      <w:r w:rsidRPr="00306E8C">
        <w:rPr>
          <w:b w:val="0"/>
          <w:color w:val="auto"/>
          <w:sz w:val="24"/>
          <w:lang w:val="en-GB"/>
        </w:rPr>
        <w:lastRenderedPageBreak/>
        <w:t>Figure S</w:t>
      </w:r>
      <w:r w:rsidRPr="00306E8C">
        <w:rPr>
          <w:b w:val="0"/>
          <w:color w:val="auto"/>
          <w:sz w:val="24"/>
          <w:lang w:val="en-GB"/>
        </w:rPr>
        <w:fldChar w:fldCharType="begin"/>
      </w:r>
      <w:r w:rsidRPr="00306E8C">
        <w:rPr>
          <w:b w:val="0"/>
          <w:color w:val="auto"/>
          <w:sz w:val="24"/>
          <w:lang w:val="en-GB"/>
        </w:rPr>
        <w:instrText xml:space="preserve"> SEQ Figure_S \* ARABIC </w:instrText>
      </w:r>
      <w:r w:rsidRPr="00306E8C">
        <w:rPr>
          <w:b w:val="0"/>
          <w:color w:val="auto"/>
          <w:sz w:val="24"/>
          <w:lang w:val="en-GB"/>
        </w:rPr>
        <w:fldChar w:fldCharType="separate"/>
      </w:r>
      <w:r w:rsidRPr="00306E8C">
        <w:rPr>
          <w:b w:val="0"/>
          <w:color w:val="auto"/>
          <w:sz w:val="24"/>
          <w:lang w:val="en-GB"/>
        </w:rPr>
        <w:t>4</w:t>
      </w:r>
      <w:r w:rsidRPr="00306E8C">
        <w:rPr>
          <w:b w:val="0"/>
          <w:color w:val="auto"/>
          <w:sz w:val="24"/>
          <w:lang w:val="en-GB"/>
        </w:rPr>
        <w:fldChar w:fldCharType="end"/>
      </w:r>
      <w:bookmarkEnd w:id="8"/>
      <w:r w:rsidRPr="00306E8C">
        <w:rPr>
          <w:b w:val="0"/>
          <w:color w:val="auto"/>
          <w:sz w:val="24"/>
          <w:lang w:val="en-GB"/>
        </w:rPr>
        <w:t xml:space="preserve">: Moran’s I of cropland with different </w:t>
      </w:r>
      <w:r w:rsidRPr="00501E4E">
        <w:rPr>
          <w:b w:val="0"/>
          <w:color w:val="auto"/>
          <w:sz w:val="24"/>
          <w:szCs w:val="24"/>
          <w:lang w:val="en-GB"/>
        </w:rPr>
        <w:t>neighbourhood</w:t>
      </w:r>
      <w:r w:rsidRPr="00306E8C">
        <w:rPr>
          <w:b w:val="0"/>
          <w:color w:val="auto"/>
          <w:sz w:val="24"/>
          <w:lang w:val="en-GB"/>
        </w:rPr>
        <w:t xml:space="preserve"> matrices</w:t>
      </w:r>
    </w:p>
    <w:p w:rsidR="00F51FD2" w:rsidRPr="00501E4E" w:rsidRDefault="00F51FD2" w:rsidP="00F51FD2">
      <w:pPr>
        <w:ind w:firstLine="0"/>
        <w:rPr>
          <w:lang w:val="en-GB"/>
        </w:rPr>
      </w:pPr>
      <w:r w:rsidRPr="00501E4E">
        <w:rPr>
          <w:noProof/>
          <w:lang w:val="de-DE" w:eastAsia="de-DE"/>
        </w:rPr>
        <w:drawing>
          <wp:inline distT="0" distB="0" distL="0" distR="0" wp14:anchorId="7A245CEA" wp14:editId="600D7F4E">
            <wp:extent cx="5827594" cy="3985147"/>
            <wp:effectExtent l="0" t="0" r="0" b="3175"/>
            <wp:docPr id="45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51FD2" w:rsidRPr="00AC00E6" w:rsidRDefault="00F51FD2" w:rsidP="00F51FD2">
      <w:pPr>
        <w:rPr>
          <w:lang w:val="en-GB"/>
        </w:rPr>
      </w:pPr>
    </w:p>
    <w:p w:rsidR="00724A8E" w:rsidRDefault="00A6710B"/>
    <w:sectPr w:rsidR="00724A8E" w:rsidSect="005127FF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FD2"/>
    <w:rsid w:val="00461333"/>
    <w:rsid w:val="00523B2A"/>
    <w:rsid w:val="00A6710B"/>
    <w:rsid w:val="00F5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1FD2"/>
    <w:pPr>
      <w:spacing w:after="0" w:line="480" w:lineRule="auto"/>
      <w:ind w:firstLine="720"/>
    </w:pPr>
    <w:rPr>
      <w:rFonts w:ascii="Book Antiqua" w:eastAsiaTheme="minorEastAsia" w:hAnsi="Book Antiqua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51F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51FD2"/>
    <w:rPr>
      <w:rFonts w:asciiTheme="majorHAnsi" w:eastAsiaTheme="majorEastAsia" w:hAnsiTheme="majorHAnsi" w:cstheme="majorBidi"/>
      <w:sz w:val="32"/>
      <w:szCs w:val="32"/>
      <w:lang w:val="en-US"/>
    </w:rPr>
  </w:style>
  <w:style w:type="paragraph" w:styleId="Beschriftung">
    <w:name w:val="caption"/>
    <w:basedOn w:val="Standard"/>
    <w:next w:val="Standard"/>
    <w:link w:val="BeschriftungZchn"/>
    <w:uiPriority w:val="35"/>
    <w:unhideWhenUsed/>
    <w:qFormat/>
    <w:rsid w:val="00F51FD2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F51FD2"/>
    <w:rPr>
      <w:rFonts w:ascii="Book Antiqua" w:eastAsiaTheme="minorEastAsia" w:hAnsi="Book Antiqua"/>
      <w:b/>
      <w:bCs/>
      <w:color w:val="5B9BD5" w:themeColor="accent1"/>
      <w:sz w:val="18"/>
      <w:szCs w:val="18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71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710B"/>
    <w:rPr>
      <w:rFonts w:ascii="Tahoma" w:eastAsiaTheme="minorEastAsi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1FD2"/>
    <w:pPr>
      <w:spacing w:after="0" w:line="480" w:lineRule="auto"/>
      <w:ind w:firstLine="720"/>
    </w:pPr>
    <w:rPr>
      <w:rFonts w:ascii="Book Antiqua" w:eastAsiaTheme="minorEastAsia" w:hAnsi="Book Antiqua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51F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51FD2"/>
    <w:rPr>
      <w:rFonts w:asciiTheme="majorHAnsi" w:eastAsiaTheme="majorEastAsia" w:hAnsiTheme="majorHAnsi" w:cstheme="majorBidi"/>
      <w:sz w:val="32"/>
      <w:szCs w:val="32"/>
      <w:lang w:val="en-US"/>
    </w:rPr>
  </w:style>
  <w:style w:type="paragraph" w:styleId="Beschriftung">
    <w:name w:val="caption"/>
    <w:basedOn w:val="Standard"/>
    <w:next w:val="Standard"/>
    <w:link w:val="BeschriftungZchn"/>
    <w:uiPriority w:val="35"/>
    <w:unhideWhenUsed/>
    <w:qFormat/>
    <w:rsid w:val="00F51FD2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F51FD2"/>
    <w:rPr>
      <w:rFonts w:ascii="Book Antiqua" w:eastAsiaTheme="minorEastAsia" w:hAnsi="Book Antiqua"/>
      <w:b/>
      <w:bCs/>
      <w:color w:val="5B9BD5" w:themeColor="accent1"/>
      <w:sz w:val="18"/>
      <w:szCs w:val="18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71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710B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34" Type="http://schemas.openxmlformats.org/officeDocument/2006/relationships/theme" Target="theme/theme1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32" Type="http://schemas.openxmlformats.org/officeDocument/2006/relationships/chart" Target="charts/chart1.xml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image" Target="media/image24.em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8" Type="http://schemas.openxmlformats.org/officeDocument/2006/relationships/image" Target="media/image4.tif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data\cnty_crop20171016\validity\MI_diffweigh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7749328816735403E-2"/>
          <c:y val="2.89593123568717E-2"/>
          <c:w val="0.89020053865815796"/>
          <c:h val="0.91337725110990797"/>
        </c:manualLayout>
      </c:layout>
      <c:lineChart>
        <c:grouping val="standard"/>
        <c:varyColors val="0"/>
        <c:ser>
          <c:idx val="11"/>
          <c:order val="0"/>
          <c:tx>
            <c:strRef>
              <c:f>Sheet1!$L$1</c:f>
              <c:strCache>
                <c:ptCount val="1"/>
                <c:pt idx="0">
                  <c:v>rook1</c:v>
                </c:pt>
              </c:strCache>
            </c:strRef>
          </c:tx>
          <c:marker>
            <c:symbol val="none"/>
          </c:marker>
          <c:cat>
            <c:numRef>
              <c:f>Sheet1!$A$2:$A$33</c:f>
              <c:numCache>
                <c:formatCode>General</c:formatCode>
                <c:ptCount val="32"/>
                <c:pt idx="0">
                  <c:v>1980</c:v>
                </c:pt>
                <c:pt idx="1">
                  <c:v>1981</c:v>
                </c:pt>
                <c:pt idx="2">
                  <c:v>1982</c:v>
                </c:pt>
                <c:pt idx="3">
                  <c:v>1983</c:v>
                </c:pt>
                <c:pt idx="4">
                  <c:v>1984</c:v>
                </c:pt>
                <c:pt idx="5">
                  <c:v>1985</c:v>
                </c:pt>
                <c:pt idx="6">
                  <c:v>1986</c:v>
                </c:pt>
                <c:pt idx="7">
                  <c:v>1987</c:v>
                </c:pt>
                <c:pt idx="8">
                  <c:v>1988</c:v>
                </c:pt>
                <c:pt idx="9">
                  <c:v>1989</c:v>
                </c:pt>
                <c:pt idx="10">
                  <c:v>1990</c:v>
                </c:pt>
                <c:pt idx="11">
                  <c:v>1991</c:v>
                </c:pt>
                <c:pt idx="12">
                  <c:v>1992</c:v>
                </c:pt>
                <c:pt idx="13">
                  <c:v>1993</c:v>
                </c:pt>
                <c:pt idx="14">
                  <c:v>1994</c:v>
                </c:pt>
                <c:pt idx="15">
                  <c:v>1995</c:v>
                </c:pt>
                <c:pt idx="16">
                  <c:v>1996</c:v>
                </c:pt>
                <c:pt idx="17">
                  <c:v>1997</c:v>
                </c:pt>
                <c:pt idx="18">
                  <c:v>1998</c:v>
                </c:pt>
                <c:pt idx="19">
                  <c:v>1999</c:v>
                </c:pt>
                <c:pt idx="20">
                  <c:v>2000</c:v>
                </c:pt>
                <c:pt idx="21">
                  <c:v>2001</c:v>
                </c:pt>
                <c:pt idx="22">
                  <c:v>2002</c:v>
                </c:pt>
                <c:pt idx="23">
                  <c:v>2003</c:v>
                </c:pt>
                <c:pt idx="24">
                  <c:v>2004</c:v>
                </c:pt>
                <c:pt idx="25">
                  <c:v>2005</c:v>
                </c:pt>
                <c:pt idx="26">
                  <c:v>2006</c:v>
                </c:pt>
                <c:pt idx="27">
                  <c:v>2007</c:v>
                </c:pt>
                <c:pt idx="28">
                  <c:v>2008</c:v>
                </c:pt>
                <c:pt idx="29">
                  <c:v>2009</c:v>
                </c:pt>
                <c:pt idx="30">
                  <c:v>2010</c:v>
                </c:pt>
                <c:pt idx="31">
                  <c:v>2011</c:v>
                </c:pt>
              </c:numCache>
            </c:numRef>
          </c:cat>
          <c:val>
            <c:numRef>
              <c:f>Sheet1!$L$2:$L$33</c:f>
              <c:numCache>
                <c:formatCode>General</c:formatCode>
                <c:ptCount val="32"/>
                <c:pt idx="0">
                  <c:v>0.55400000000000005</c:v>
                </c:pt>
                <c:pt idx="1">
                  <c:v>0.51300000000000001</c:v>
                </c:pt>
                <c:pt idx="2">
                  <c:v>0.56299999999999994</c:v>
                </c:pt>
                <c:pt idx="3">
                  <c:v>0.52900000000000003</c:v>
                </c:pt>
                <c:pt idx="4">
                  <c:v>0.57599999999999996</c:v>
                </c:pt>
                <c:pt idx="5">
                  <c:v>0.57299999999999995</c:v>
                </c:pt>
                <c:pt idx="6">
                  <c:v>0.56999999999999995</c:v>
                </c:pt>
                <c:pt idx="7">
                  <c:v>0.57699999999999996</c:v>
                </c:pt>
                <c:pt idx="8">
                  <c:v>0.54400000000000004</c:v>
                </c:pt>
                <c:pt idx="9">
                  <c:v>0.59399999999999997</c:v>
                </c:pt>
                <c:pt idx="10">
                  <c:v>0.57599999999999996</c:v>
                </c:pt>
                <c:pt idx="11">
                  <c:v>0.58399999999999996</c:v>
                </c:pt>
                <c:pt idx="12">
                  <c:v>0.60199999999999998</c:v>
                </c:pt>
                <c:pt idx="13">
                  <c:v>0.60599999999999998</c:v>
                </c:pt>
                <c:pt idx="14">
                  <c:v>0.60699999999999998</c:v>
                </c:pt>
                <c:pt idx="15">
                  <c:v>0.61099999999999999</c:v>
                </c:pt>
                <c:pt idx="16">
                  <c:v>0.61</c:v>
                </c:pt>
                <c:pt idx="17">
                  <c:v>0.59899999999999998</c:v>
                </c:pt>
                <c:pt idx="18">
                  <c:v>0.6</c:v>
                </c:pt>
                <c:pt idx="19">
                  <c:v>0.61199999999999999</c:v>
                </c:pt>
                <c:pt idx="20">
                  <c:v>0.622</c:v>
                </c:pt>
                <c:pt idx="21">
                  <c:v>0.61</c:v>
                </c:pt>
                <c:pt idx="22">
                  <c:v>0.61499999999999999</c:v>
                </c:pt>
                <c:pt idx="23">
                  <c:v>0.60799999999999998</c:v>
                </c:pt>
                <c:pt idx="24">
                  <c:v>0.61199999999999999</c:v>
                </c:pt>
                <c:pt idx="25">
                  <c:v>0.61899999999999999</c:v>
                </c:pt>
                <c:pt idx="26">
                  <c:v>0.63100000000000001</c:v>
                </c:pt>
                <c:pt idx="27">
                  <c:v>0.628</c:v>
                </c:pt>
                <c:pt idx="28">
                  <c:v>0.63200000000000001</c:v>
                </c:pt>
                <c:pt idx="29">
                  <c:v>0.64200000000000002</c:v>
                </c:pt>
                <c:pt idx="30">
                  <c:v>0.64700000000000002</c:v>
                </c:pt>
                <c:pt idx="31">
                  <c:v>0.64500000000000002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F51-498E-99C0-BBAF40E44521}"/>
            </c:ext>
          </c:extLst>
        </c:ser>
        <c:ser>
          <c:idx val="15"/>
          <c:order val="1"/>
          <c:tx>
            <c:strRef>
              <c:f>Sheet1!$P$1</c:f>
              <c:strCache>
                <c:ptCount val="1"/>
                <c:pt idx="0">
                  <c:v>queen1</c:v>
                </c:pt>
              </c:strCache>
            </c:strRef>
          </c:tx>
          <c:spPr>
            <a:ln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ysDot"/>
            </a:ln>
          </c:spPr>
          <c:marker>
            <c:symbol val="none"/>
          </c:marker>
          <c:cat>
            <c:numRef>
              <c:f>Sheet1!$A$2:$A$33</c:f>
              <c:numCache>
                <c:formatCode>General</c:formatCode>
                <c:ptCount val="32"/>
                <c:pt idx="0">
                  <c:v>1980</c:v>
                </c:pt>
                <c:pt idx="1">
                  <c:v>1981</c:v>
                </c:pt>
                <c:pt idx="2">
                  <c:v>1982</c:v>
                </c:pt>
                <c:pt idx="3">
                  <c:v>1983</c:v>
                </c:pt>
                <c:pt idx="4">
                  <c:v>1984</c:v>
                </c:pt>
                <c:pt idx="5">
                  <c:v>1985</c:v>
                </c:pt>
                <c:pt idx="6">
                  <c:v>1986</c:v>
                </c:pt>
                <c:pt idx="7">
                  <c:v>1987</c:v>
                </c:pt>
                <c:pt idx="8">
                  <c:v>1988</c:v>
                </c:pt>
                <c:pt idx="9">
                  <c:v>1989</c:v>
                </c:pt>
                <c:pt idx="10">
                  <c:v>1990</c:v>
                </c:pt>
                <c:pt idx="11">
                  <c:v>1991</c:v>
                </c:pt>
                <c:pt idx="12">
                  <c:v>1992</c:v>
                </c:pt>
                <c:pt idx="13">
                  <c:v>1993</c:v>
                </c:pt>
                <c:pt idx="14">
                  <c:v>1994</c:v>
                </c:pt>
                <c:pt idx="15">
                  <c:v>1995</c:v>
                </c:pt>
                <c:pt idx="16">
                  <c:v>1996</c:v>
                </c:pt>
                <c:pt idx="17">
                  <c:v>1997</c:v>
                </c:pt>
                <c:pt idx="18">
                  <c:v>1998</c:v>
                </c:pt>
                <c:pt idx="19">
                  <c:v>1999</c:v>
                </c:pt>
                <c:pt idx="20">
                  <c:v>2000</c:v>
                </c:pt>
                <c:pt idx="21">
                  <c:v>2001</c:v>
                </c:pt>
                <c:pt idx="22">
                  <c:v>2002</c:v>
                </c:pt>
                <c:pt idx="23">
                  <c:v>2003</c:v>
                </c:pt>
                <c:pt idx="24">
                  <c:v>2004</c:v>
                </c:pt>
                <c:pt idx="25">
                  <c:v>2005</c:v>
                </c:pt>
                <c:pt idx="26">
                  <c:v>2006</c:v>
                </c:pt>
                <c:pt idx="27">
                  <c:v>2007</c:v>
                </c:pt>
                <c:pt idx="28">
                  <c:v>2008</c:v>
                </c:pt>
                <c:pt idx="29">
                  <c:v>2009</c:v>
                </c:pt>
                <c:pt idx="30">
                  <c:v>2010</c:v>
                </c:pt>
                <c:pt idx="31">
                  <c:v>2011</c:v>
                </c:pt>
              </c:numCache>
            </c:numRef>
          </c:cat>
          <c:val>
            <c:numRef>
              <c:f>Sheet1!$P$2:$P$33</c:f>
              <c:numCache>
                <c:formatCode>General</c:formatCode>
                <c:ptCount val="32"/>
                <c:pt idx="0">
                  <c:v>0.55500000000000005</c:v>
                </c:pt>
                <c:pt idx="1">
                  <c:v>0.51200000000000001</c:v>
                </c:pt>
                <c:pt idx="2">
                  <c:v>0.56399999999999995</c:v>
                </c:pt>
                <c:pt idx="3">
                  <c:v>0.52900000000000003</c:v>
                </c:pt>
                <c:pt idx="4">
                  <c:v>0.57699999999999996</c:v>
                </c:pt>
                <c:pt idx="5">
                  <c:v>0.57299999999999995</c:v>
                </c:pt>
                <c:pt idx="6">
                  <c:v>0.56999999999999995</c:v>
                </c:pt>
                <c:pt idx="7">
                  <c:v>0.57699999999999996</c:v>
                </c:pt>
                <c:pt idx="8">
                  <c:v>0.54400000000000004</c:v>
                </c:pt>
                <c:pt idx="9">
                  <c:v>0.59399999999999997</c:v>
                </c:pt>
                <c:pt idx="10">
                  <c:v>0.57699999999999996</c:v>
                </c:pt>
                <c:pt idx="11">
                  <c:v>0.58399999999999996</c:v>
                </c:pt>
                <c:pt idx="12">
                  <c:v>0.60199999999999998</c:v>
                </c:pt>
                <c:pt idx="13">
                  <c:v>0.60599999999999998</c:v>
                </c:pt>
                <c:pt idx="14">
                  <c:v>0.60699999999999998</c:v>
                </c:pt>
                <c:pt idx="15">
                  <c:v>0.61099999999999999</c:v>
                </c:pt>
                <c:pt idx="16">
                  <c:v>0.61</c:v>
                </c:pt>
                <c:pt idx="17">
                  <c:v>0.6</c:v>
                </c:pt>
                <c:pt idx="18">
                  <c:v>0.60099999999999998</c:v>
                </c:pt>
                <c:pt idx="19">
                  <c:v>0.61299999999999999</c:v>
                </c:pt>
                <c:pt idx="20">
                  <c:v>0.623</c:v>
                </c:pt>
                <c:pt idx="21">
                  <c:v>0.61</c:v>
                </c:pt>
                <c:pt idx="22">
                  <c:v>0.61599999999999999</c:v>
                </c:pt>
                <c:pt idx="23">
                  <c:v>0.60899999999999999</c:v>
                </c:pt>
                <c:pt idx="24">
                  <c:v>0.61199999999999999</c:v>
                </c:pt>
                <c:pt idx="25">
                  <c:v>0.61899999999999999</c:v>
                </c:pt>
                <c:pt idx="26">
                  <c:v>0.63100000000000001</c:v>
                </c:pt>
                <c:pt idx="27">
                  <c:v>0.628</c:v>
                </c:pt>
                <c:pt idx="28">
                  <c:v>0.63200000000000001</c:v>
                </c:pt>
                <c:pt idx="29">
                  <c:v>0.64200000000000002</c:v>
                </c:pt>
                <c:pt idx="30">
                  <c:v>0.64800000000000002</c:v>
                </c:pt>
                <c:pt idx="31">
                  <c:v>0.64600000000000002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F51-498E-99C0-BBAF40E44521}"/>
            </c:ext>
          </c:extLst>
        </c:ser>
        <c:ser>
          <c:idx val="8"/>
          <c:order val="2"/>
          <c:tx>
            <c:strRef>
              <c:f>Sheet1!$I$1</c:f>
              <c:strCache>
                <c:ptCount val="1"/>
                <c:pt idx="0">
                  <c:v>knn4</c:v>
                </c:pt>
              </c:strCache>
            </c:strRef>
          </c:tx>
          <c:spPr>
            <a:ln>
              <a:solidFill>
                <a:schemeClr val="tx1">
                  <a:lumMod val="50000"/>
                  <a:lumOff val="50000"/>
                </a:schemeClr>
              </a:solidFill>
              <a:prstDash val="sysDash"/>
            </a:ln>
          </c:spPr>
          <c:marker>
            <c:symbol val="none"/>
          </c:marker>
          <c:cat>
            <c:numRef>
              <c:f>Sheet1!$A$2:$A$33</c:f>
              <c:numCache>
                <c:formatCode>General</c:formatCode>
                <c:ptCount val="32"/>
                <c:pt idx="0">
                  <c:v>1980</c:v>
                </c:pt>
                <c:pt idx="1">
                  <c:v>1981</c:v>
                </c:pt>
                <c:pt idx="2">
                  <c:v>1982</c:v>
                </c:pt>
                <c:pt idx="3">
                  <c:v>1983</c:v>
                </c:pt>
                <c:pt idx="4">
                  <c:v>1984</c:v>
                </c:pt>
                <c:pt idx="5">
                  <c:v>1985</c:v>
                </c:pt>
                <c:pt idx="6">
                  <c:v>1986</c:v>
                </c:pt>
                <c:pt idx="7">
                  <c:v>1987</c:v>
                </c:pt>
                <c:pt idx="8">
                  <c:v>1988</c:v>
                </c:pt>
                <c:pt idx="9">
                  <c:v>1989</c:v>
                </c:pt>
                <c:pt idx="10">
                  <c:v>1990</c:v>
                </c:pt>
                <c:pt idx="11">
                  <c:v>1991</c:v>
                </c:pt>
                <c:pt idx="12">
                  <c:v>1992</c:v>
                </c:pt>
                <c:pt idx="13">
                  <c:v>1993</c:v>
                </c:pt>
                <c:pt idx="14">
                  <c:v>1994</c:v>
                </c:pt>
                <c:pt idx="15">
                  <c:v>1995</c:v>
                </c:pt>
                <c:pt idx="16">
                  <c:v>1996</c:v>
                </c:pt>
                <c:pt idx="17">
                  <c:v>1997</c:v>
                </c:pt>
                <c:pt idx="18">
                  <c:v>1998</c:v>
                </c:pt>
                <c:pt idx="19">
                  <c:v>1999</c:v>
                </c:pt>
                <c:pt idx="20">
                  <c:v>2000</c:v>
                </c:pt>
                <c:pt idx="21">
                  <c:v>2001</c:v>
                </c:pt>
                <c:pt idx="22">
                  <c:v>2002</c:v>
                </c:pt>
                <c:pt idx="23">
                  <c:v>2003</c:v>
                </c:pt>
                <c:pt idx="24">
                  <c:v>2004</c:v>
                </c:pt>
                <c:pt idx="25">
                  <c:v>2005</c:v>
                </c:pt>
                <c:pt idx="26">
                  <c:v>2006</c:v>
                </c:pt>
                <c:pt idx="27">
                  <c:v>2007</c:v>
                </c:pt>
                <c:pt idx="28">
                  <c:v>2008</c:v>
                </c:pt>
                <c:pt idx="29">
                  <c:v>2009</c:v>
                </c:pt>
                <c:pt idx="30">
                  <c:v>2010</c:v>
                </c:pt>
                <c:pt idx="31">
                  <c:v>2011</c:v>
                </c:pt>
              </c:numCache>
            </c:numRef>
          </c:cat>
          <c:val>
            <c:numRef>
              <c:f>Sheet1!$I$2:$I$33</c:f>
              <c:numCache>
                <c:formatCode>General</c:formatCode>
                <c:ptCount val="32"/>
                <c:pt idx="0">
                  <c:v>0.53400000000000003</c:v>
                </c:pt>
                <c:pt idx="1">
                  <c:v>0.48799999999999999</c:v>
                </c:pt>
                <c:pt idx="2">
                  <c:v>0.54</c:v>
                </c:pt>
                <c:pt idx="3">
                  <c:v>0.50900000000000001</c:v>
                </c:pt>
                <c:pt idx="4">
                  <c:v>0.55300000000000005</c:v>
                </c:pt>
                <c:pt idx="5">
                  <c:v>0.55300000000000005</c:v>
                </c:pt>
                <c:pt idx="6">
                  <c:v>0.55100000000000005</c:v>
                </c:pt>
                <c:pt idx="7">
                  <c:v>0.55800000000000005</c:v>
                </c:pt>
                <c:pt idx="8">
                  <c:v>0.52600000000000002</c:v>
                </c:pt>
                <c:pt idx="9">
                  <c:v>0.57599999999999996</c:v>
                </c:pt>
                <c:pt idx="10">
                  <c:v>0.55700000000000005</c:v>
                </c:pt>
                <c:pt idx="11">
                  <c:v>0.56699999999999995</c:v>
                </c:pt>
                <c:pt idx="12">
                  <c:v>0.58299999999999996</c:v>
                </c:pt>
                <c:pt idx="13">
                  <c:v>0.58799999999999997</c:v>
                </c:pt>
                <c:pt idx="14">
                  <c:v>0.59</c:v>
                </c:pt>
                <c:pt idx="15">
                  <c:v>0.59399999999999997</c:v>
                </c:pt>
                <c:pt idx="16">
                  <c:v>0.59399999999999997</c:v>
                </c:pt>
                <c:pt idx="17">
                  <c:v>0.58199999999999996</c:v>
                </c:pt>
                <c:pt idx="18">
                  <c:v>0.57999999999999996</c:v>
                </c:pt>
                <c:pt idx="19">
                  <c:v>0.59299999999999997</c:v>
                </c:pt>
                <c:pt idx="20">
                  <c:v>0.61</c:v>
                </c:pt>
                <c:pt idx="21">
                  <c:v>0.59299999999999997</c:v>
                </c:pt>
                <c:pt idx="22">
                  <c:v>0.59599999999999997</c:v>
                </c:pt>
                <c:pt idx="23">
                  <c:v>0.59299999999999997</c:v>
                </c:pt>
                <c:pt idx="24">
                  <c:v>0.60099999999999998</c:v>
                </c:pt>
                <c:pt idx="25">
                  <c:v>0.60799999999999998</c:v>
                </c:pt>
                <c:pt idx="26">
                  <c:v>0.622</c:v>
                </c:pt>
                <c:pt idx="27">
                  <c:v>0.61799999999999999</c:v>
                </c:pt>
                <c:pt idx="28">
                  <c:v>0.61899999999999999</c:v>
                </c:pt>
                <c:pt idx="29">
                  <c:v>0.63200000000000001</c:v>
                </c:pt>
                <c:pt idx="30">
                  <c:v>0.63900000000000001</c:v>
                </c:pt>
                <c:pt idx="31">
                  <c:v>0.63600000000000001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F51-498E-99C0-BBAF40E44521}"/>
            </c:ext>
          </c:extLst>
        </c:ser>
        <c:ser>
          <c:idx val="12"/>
          <c:order val="3"/>
          <c:tx>
            <c:strRef>
              <c:f>Sheet1!$M$1</c:f>
              <c:strCache>
                <c:ptCount val="1"/>
                <c:pt idx="0">
                  <c:v>rook21</c:v>
                </c:pt>
              </c:strCache>
            </c:strRef>
          </c:tx>
          <c:spPr>
            <a:ln>
              <a:solidFill>
                <a:schemeClr val="bg1">
                  <a:lumMod val="50000"/>
                </a:schemeClr>
              </a:solidFill>
            </a:ln>
          </c:spPr>
          <c:marker>
            <c:symbol val="diamond"/>
            <c:size val="5"/>
            <c:spPr>
              <a:noFill/>
              <a:ln>
                <a:solidFill>
                  <a:schemeClr val="bg1">
                    <a:lumMod val="50000"/>
                  </a:schemeClr>
                </a:solidFill>
              </a:ln>
            </c:spPr>
          </c:marker>
          <c:cat>
            <c:numRef>
              <c:f>Sheet1!$A$2:$A$33</c:f>
              <c:numCache>
                <c:formatCode>General</c:formatCode>
                <c:ptCount val="32"/>
                <c:pt idx="0">
                  <c:v>1980</c:v>
                </c:pt>
                <c:pt idx="1">
                  <c:v>1981</c:v>
                </c:pt>
                <c:pt idx="2">
                  <c:v>1982</c:v>
                </c:pt>
                <c:pt idx="3">
                  <c:v>1983</c:v>
                </c:pt>
                <c:pt idx="4">
                  <c:v>1984</c:v>
                </c:pt>
                <c:pt idx="5">
                  <c:v>1985</c:v>
                </c:pt>
                <c:pt idx="6">
                  <c:v>1986</c:v>
                </c:pt>
                <c:pt idx="7">
                  <c:v>1987</c:v>
                </c:pt>
                <c:pt idx="8">
                  <c:v>1988</c:v>
                </c:pt>
                <c:pt idx="9">
                  <c:v>1989</c:v>
                </c:pt>
                <c:pt idx="10">
                  <c:v>1990</c:v>
                </c:pt>
                <c:pt idx="11">
                  <c:v>1991</c:v>
                </c:pt>
                <c:pt idx="12">
                  <c:v>1992</c:v>
                </c:pt>
                <c:pt idx="13">
                  <c:v>1993</c:v>
                </c:pt>
                <c:pt idx="14">
                  <c:v>1994</c:v>
                </c:pt>
                <c:pt idx="15">
                  <c:v>1995</c:v>
                </c:pt>
                <c:pt idx="16">
                  <c:v>1996</c:v>
                </c:pt>
                <c:pt idx="17">
                  <c:v>1997</c:v>
                </c:pt>
                <c:pt idx="18">
                  <c:v>1998</c:v>
                </c:pt>
                <c:pt idx="19">
                  <c:v>1999</c:v>
                </c:pt>
                <c:pt idx="20">
                  <c:v>2000</c:v>
                </c:pt>
                <c:pt idx="21">
                  <c:v>2001</c:v>
                </c:pt>
                <c:pt idx="22">
                  <c:v>2002</c:v>
                </c:pt>
                <c:pt idx="23">
                  <c:v>2003</c:v>
                </c:pt>
                <c:pt idx="24">
                  <c:v>2004</c:v>
                </c:pt>
                <c:pt idx="25">
                  <c:v>2005</c:v>
                </c:pt>
                <c:pt idx="26">
                  <c:v>2006</c:v>
                </c:pt>
                <c:pt idx="27">
                  <c:v>2007</c:v>
                </c:pt>
                <c:pt idx="28">
                  <c:v>2008</c:v>
                </c:pt>
                <c:pt idx="29">
                  <c:v>2009</c:v>
                </c:pt>
                <c:pt idx="30">
                  <c:v>2010</c:v>
                </c:pt>
                <c:pt idx="31">
                  <c:v>2011</c:v>
                </c:pt>
              </c:numCache>
            </c:numRef>
          </c:cat>
          <c:val>
            <c:numRef>
              <c:f>Sheet1!$M$2:$M$33</c:f>
              <c:numCache>
                <c:formatCode>General</c:formatCode>
                <c:ptCount val="32"/>
                <c:pt idx="0">
                  <c:v>0.46899999999999997</c:v>
                </c:pt>
                <c:pt idx="1">
                  <c:v>0.42399999999999999</c:v>
                </c:pt>
                <c:pt idx="2">
                  <c:v>0.47599999999999998</c:v>
                </c:pt>
                <c:pt idx="3">
                  <c:v>0.439</c:v>
                </c:pt>
                <c:pt idx="4">
                  <c:v>0.48699999999999999</c:v>
                </c:pt>
                <c:pt idx="5">
                  <c:v>0.48799999999999999</c:v>
                </c:pt>
                <c:pt idx="6">
                  <c:v>0.48399999999999999</c:v>
                </c:pt>
                <c:pt idx="7">
                  <c:v>0.49199999999999999</c:v>
                </c:pt>
                <c:pt idx="8">
                  <c:v>0.45100000000000001</c:v>
                </c:pt>
                <c:pt idx="9">
                  <c:v>0.502</c:v>
                </c:pt>
                <c:pt idx="10">
                  <c:v>0.48799999999999999</c:v>
                </c:pt>
                <c:pt idx="11">
                  <c:v>0.497</c:v>
                </c:pt>
                <c:pt idx="12">
                  <c:v>0.50800000000000001</c:v>
                </c:pt>
                <c:pt idx="13">
                  <c:v>0.51300000000000001</c:v>
                </c:pt>
                <c:pt idx="14">
                  <c:v>0.51300000000000001</c:v>
                </c:pt>
                <c:pt idx="15">
                  <c:v>0.51600000000000001</c:v>
                </c:pt>
                <c:pt idx="16">
                  <c:v>0.51500000000000001</c:v>
                </c:pt>
                <c:pt idx="17">
                  <c:v>0.50700000000000001</c:v>
                </c:pt>
                <c:pt idx="18">
                  <c:v>0.51</c:v>
                </c:pt>
                <c:pt idx="19">
                  <c:v>0.52</c:v>
                </c:pt>
                <c:pt idx="20">
                  <c:v>0.53200000000000003</c:v>
                </c:pt>
                <c:pt idx="21">
                  <c:v>0.52300000000000002</c:v>
                </c:pt>
                <c:pt idx="22">
                  <c:v>0.52400000000000002</c:v>
                </c:pt>
                <c:pt idx="23">
                  <c:v>0.51300000000000001</c:v>
                </c:pt>
                <c:pt idx="24">
                  <c:v>0.51900000000000002</c:v>
                </c:pt>
                <c:pt idx="25">
                  <c:v>0.52600000000000002</c:v>
                </c:pt>
                <c:pt idx="26">
                  <c:v>0.53900000000000003</c:v>
                </c:pt>
                <c:pt idx="27">
                  <c:v>0.53700000000000003</c:v>
                </c:pt>
                <c:pt idx="28">
                  <c:v>0.54</c:v>
                </c:pt>
                <c:pt idx="29">
                  <c:v>0.55400000000000005</c:v>
                </c:pt>
                <c:pt idx="30">
                  <c:v>0.56000000000000005</c:v>
                </c:pt>
                <c:pt idx="31">
                  <c:v>0.55800000000000005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F51-498E-99C0-BBAF40E44521}"/>
            </c:ext>
          </c:extLst>
        </c:ser>
        <c:ser>
          <c:idx val="1"/>
          <c:order val="4"/>
          <c:tx>
            <c:strRef>
              <c:f>Sheet1!$B$1</c:f>
              <c:strCache>
                <c:ptCount val="1"/>
                <c:pt idx="0">
                  <c:v>knn32</c:v>
                </c:pt>
              </c:strCache>
            </c:strRef>
          </c:tx>
          <c:spPr>
            <a:ln>
              <a:solidFill>
                <a:schemeClr val="bg1">
                  <a:lumMod val="50000"/>
                </a:schemeClr>
              </a:solidFill>
              <a:prstDash val="dashDot"/>
            </a:ln>
          </c:spPr>
          <c:marker>
            <c:symbol val="none"/>
          </c:marker>
          <c:cat>
            <c:numRef>
              <c:f>Sheet1!$A$2:$A$33</c:f>
              <c:numCache>
                <c:formatCode>General</c:formatCode>
                <c:ptCount val="32"/>
                <c:pt idx="0">
                  <c:v>1980</c:v>
                </c:pt>
                <c:pt idx="1">
                  <c:v>1981</c:v>
                </c:pt>
                <c:pt idx="2">
                  <c:v>1982</c:v>
                </c:pt>
                <c:pt idx="3">
                  <c:v>1983</c:v>
                </c:pt>
                <c:pt idx="4">
                  <c:v>1984</c:v>
                </c:pt>
                <c:pt idx="5">
                  <c:v>1985</c:v>
                </c:pt>
                <c:pt idx="6">
                  <c:v>1986</c:v>
                </c:pt>
                <c:pt idx="7">
                  <c:v>1987</c:v>
                </c:pt>
                <c:pt idx="8">
                  <c:v>1988</c:v>
                </c:pt>
                <c:pt idx="9">
                  <c:v>1989</c:v>
                </c:pt>
                <c:pt idx="10">
                  <c:v>1990</c:v>
                </c:pt>
                <c:pt idx="11">
                  <c:v>1991</c:v>
                </c:pt>
                <c:pt idx="12">
                  <c:v>1992</c:v>
                </c:pt>
                <c:pt idx="13">
                  <c:v>1993</c:v>
                </c:pt>
                <c:pt idx="14">
                  <c:v>1994</c:v>
                </c:pt>
                <c:pt idx="15">
                  <c:v>1995</c:v>
                </c:pt>
                <c:pt idx="16">
                  <c:v>1996</c:v>
                </c:pt>
                <c:pt idx="17">
                  <c:v>1997</c:v>
                </c:pt>
                <c:pt idx="18">
                  <c:v>1998</c:v>
                </c:pt>
                <c:pt idx="19">
                  <c:v>1999</c:v>
                </c:pt>
                <c:pt idx="20">
                  <c:v>2000</c:v>
                </c:pt>
                <c:pt idx="21">
                  <c:v>2001</c:v>
                </c:pt>
                <c:pt idx="22">
                  <c:v>2002</c:v>
                </c:pt>
                <c:pt idx="23">
                  <c:v>2003</c:v>
                </c:pt>
                <c:pt idx="24">
                  <c:v>2004</c:v>
                </c:pt>
                <c:pt idx="25">
                  <c:v>2005</c:v>
                </c:pt>
                <c:pt idx="26">
                  <c:v>2006</c:v>
                </c:pt>
                <c:pt idx="27">
                  <c:v>2007</c:v>
                </c:pt>
                <c:pt idx="28">
                  <c:v>2008</c:v>
                </c:pt>
                <c:pt idx="29">
                  <c:v>2009</c:v>
                </c:pt>
                <c:pt idx="30">
                  <c:v>2010</c:v>
                </c:pt>
                <c:pt idx="31">
                  <c:v>2011</c:v>
                </c:pt>
              </c:numCache>
            </c:numRef>
          </c:cat>
          <c:val>
            <c:numRef>
              <c:f>Sheet1!$B$2:$B$33</c:f>
              <c:numCache>
                <c:formatCode>General</c:formatCode>
                <c:ptCount val="32"/>
                <c:pt idx="0">
                  <c:v>0.40100000000000002</c:v>
                </c:pt>
                <c:pt idx="1">
                  <c:v>0.35899999999999999</c:v>
                </c:pt>
                <c:pt idx="2">
                  <c:v>0.40799999999999997</c:v>
                </c:pt>
                <c:pt idx="3">
                  <c:v>0.373</c:v>
                </c:pt>
                <c:pt idx="4">
                  <c:v>0.41899999999999998</c:v>
                </c:pt>
                <c:pt idx="5">
                  <c:v>0.42599999999999999</c:v>
                </c:pt>
                <c:pt idx="6">
                  <c:v>0.42299999999999999</c:v>
                </c:pt>
                <c:pt idx="7">
                  <c:v>0.43</c:v>
                </c:pt>
                <c:pt idx="8">
                  <c:v>0.38900000000000001</c:v>
                </c:pt>
                <c:pt idx="9">
                  <c:v>0.436</c:v>
                </c:pt>
                <c:pt idx="10">
                  <c:v>0.42499999999999999</c:v>
                </c:pt>
                <c:pt idx="11">
                  <c:v>0.432</c:v>
                </c:pt>
                <c:pt idx="12">
                  <c:v>0.441</c:v>
                </c:pt>
                <c:pt idx="13">
                  <c:v>0.44700000000000001</c:v>
                </c:pt>
                <c:pt idx="14">
                  <c:v>0.44800000000000001</c:v>
                </c:pt>
                <c:pt idx="15">
                  <c:v>0.44900000000000001</c:v>
                </c:pt>
                <c:pt idx="16">
                  <c:v>0.45</c:v>
                </c:pt>
                <c:pt idx="17">
                  <c:v>0.441</c:v>
                </c:pt>
                <c:pt idx="18">
                  <c:v>0.44700000000000001</c:v>
                </c:pt>
                <c:pt idx="19">
                  <c:v>0.45500000000000002</c:v>
                </c:pt>
                <c:pt idx="20">
                  <c:v>0.46700000000000003</c:v>
                </c:pt>
                <c:pt idx="21">
                  <c:v>0.45800000000000002</c:v>
                </c:pt>
                <c:pt idx="22">
                  <c:v>0.45600000000000002</c:v>
                </c:pt>
                <c:pt idx="23">
                  <c:v>0.44600000000000001</c:v>
                </c:pt>
                <c:pt idx="24">
                  <c:v>0.45500000000000002</c:v>
                </c:pt>
                <c:pt idx="25">
                  <c:v>0.46200000000000002</c:v>
                </c:pt>
                <c:pt idx="26">
                  <c:v>0.47499999999999998</c:v>
                </c:pt>
                <c:pt idx="27">
                  <c:v>0.47099999999999997</c:v>
                </c:pt>
                <c:pt idx="28">
                  <c:v>0.47499999999999998</c:v>
                </c:pt>
                <c:pt idx="29">
                  <c:v>0.49199999999999999</c:v>
                </c:pt>
                <c:pt idx="30">
                  <c:v>0.498</c:v>
                </c:pt>
                <c:pt idx="31">
                  <c:v>0.496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F51-498E-99C0-BBAF40E445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057984"/>
        <c:axId val="36356672"/>
      </c:lineChart>
      <c:catAx>
        <c:axId val="54057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Book Antiqua" panose="02040602050305030304" pitchFamily="18" charset="0"/>
              </a:defRPr>
            </a:pPr>
            <a:endParaRPr lang="de-DE"/>
          </a:p>
        </c:txPr>
        <c:crossAx val="36356672"/>
        <c:crosses val="autoZero"/>
        <c:auto val="1"/>
        <c:lblAlgn val="ctr"/>
        <c:lblOffset val="100"/>
        <c:tickLblSkip val="5"/>
        <c:tickMarkSkip val="5"/>
        <c:noMultiLvlLbl val="0"/>
      </c:catAx>
      <c:valAx>
        <c:axId val="36356672"/>
        <c:scaling>
          <c:orientation val="minMax"/>
          <c:min val="0.3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  <a:prstDash val="sysDot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100" b="0">
                    <a:latin typeface="Book Antiqua" panose="02040602050305030304" pitchFamily="18" charset="0"/>
                  </a:defRPr>
                </a:pPr>
                <a:r>
                  <a:rPr lang="en-GB" sz="1100" b="0">
                    <a:latin typeface="Book Antiqua" panose="02040602050305030304" pitchFamily="18" charset="0"/>
                  </a:rPr>
                  <a:t>Moran's I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>
            <a:prstDash val="sysDot"/>
          </a:ln>
        </c:spPr>
        <c:txPr>
          <a:bodyPr/>
          <a:lstStyle/>
          <a:p>
            <a:pPr>
              <a:defRPr sz="1100">
                <a:latin typeface="Book Antiqua" panose="02040602050305030304" pitchFamily="18" charset="0"/>
              </a:defRPr>
            </a:pPr>
            <a:endParaRPr lang="de-DE"/>
          </a:p>
        </c:txPr>
        <c:crossAx val="54057984"/>
        <c:crosses val="autoZero"/>
        <c:crossBetween val="between"/>
        <c:majorUnit val="0.1"/>
      </c:valAx>
    </c:plotArea>
    <c:plotVisOnly val="1"/>
    <c:dispBlanksAs val="gap"/>
    <c:showDLblsOverMax val="0"/>
  </c:chart>
  <c:spPr>
    <a:ln w="0">
      <a:noFill/>
    </a:ln>
  </c:spPr>
  <c:txPr>
    <a:bodyPr/>
    <a:lstStyle/>
    <a:p>
      <a:pPr>
        <a:defRPr sz="600"/>
      </a:pPr>
      <a:endParaRPr lang="de-DE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0.58482</cdr:x>
      <cdr:y>0.57952</cdr:y>
    </cdr:from>
    <cdr:to>
      <cdr:x>0.67708</cdr:x>
      <cdr:y>0.75202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795964" y="307181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GB" sz="1100"/>
        </a:p>
      </cdr:txBody>
    </cdr:sp>
  </cdr:relSizeAnchor>
  <cdr:relSizeAnchor xmlns:cdr="http://schemas.openxmlformats.org/drawingml/2006/chartDrawing">
    <cdr:from>
      <cdr:x>0.49281</cdr:x>
      <cdr:y>0.60202</cdr:y>
    </cdr:from>
    <cdr:to>
      <cdr:x>0.76822</cdr:x>
      <cdr:y>0.6685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871825" y="2398826"/>
          <a:ext cx="1604925" cy="2648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GB" sz="1100">
              <a:latin typeface="Book Antiqua" panose="02040602050305030304" pitchFamily="18" charset="0"/>
            </a:rPr>
            <a:t>32 nearest</a:t>
          </a:r>
          <a:r>
            <a:rPr lang="en-GB" sz="1100" baseline="0">
              <a:latin typeface="Book Antiqua" panose="02040602050305030304" pitchFamily="18" charset="0"/>
            </a:rPr>
            <a:t> neighbours</a:t>
          </a:r>
        </a:p>
      </cdr:txBody>
    </cdr:sp>
  </cdr:relSizeAnchor>
  <cdr:relSizeAnchor xmlns:cdr="http://schemas.openxmlformats.org/drawingml/2006/chartDrawing">
    <cdr:from>
      <cdr:x>0.36937</cdr:x>
      <cdr:y>0.14256</cdr:y>
    </cdr:from>
    <cdr:to>
      <cdr:x>0.74044</cdr:x>
      <cdr:y>0.20904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2152465" y="568048"/>
          <a:ext cx="2162360" cy="2648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GB" sz="1100">
              <a:latin typeface="Book Antiqua" panose="02040602050305030304" pitchFamily="18" charset="0"/>
            </a:rPr>
            <a:t>First</a:t>
          </a:r>
          <a:r>
            <a:rPr lang="en-GB" sz="1100" baseline="0">
              <a:latin typeface="Book Antiqua" panose="02040602050305030304" pitchFamily="18" charset="0"/>
            </a:rPr>
            <a:t>-order rook and queen neighbours</a:t>
          </a:r>
        </a:p>
      </cdr:txBody>
    </cdr:sp>
  </cdr:relSizeAnchor>
  <cdr:relSizeAnchor xmlns:cdr="http://schemas.openxmlformats.org/drawingml/2006/chartDrawing">
    <cdr:from>
      <cdr:x>0.34508</cdr:x>
      <cdr:y>0.37851</cdr:y>
    </cdr:from>
    <cdr:to>
      <cdr:x>0.88428</cdr:x>
      <cdr:y>0.445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2010921" y="1508233"/>
          <a:ext cx="3142103" cy="2649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GB" sz="1100">
              <a:latin typeface="Book Antiqua" panose="02040602050305030304" pitchFamily="18" charset="0"/>
            </a:rPr>
            <a:t>Second</a:t>
          </a:r>
          <a:r>
            <a:rPr lang="en-GB" sz="1100" baseline="0">
              <a:latin typeface="Book Antiqua" panose="02040602050305030304" pitchFamily="18" charset="0"/>
            </a:rPr>
            <a:t>-order with first-order rook neighbours</a:t>
          </a:r>
        </a:p>
      </cdr:txBody>
    </cdr:sp>
  </cdr:relSizeAnchor>
  <cdr:relSizeAnchor xmlns:cdr="http://schemas.openxmlformats.org/drawingml/2006/chartDrawing">
    <cdr:from>
      <cdr:x>0.51311</cdr:x>
      <cdr:y>0.27186</cdr:y>
    </cdr:from>
    <cdr:to>
      <cdr:x>0.75842</cdr:x>
      <cdr:y>0.33835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2990089" y="1083247"/>
          <a:ext cx="1429511" cy="2649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GB" sz="1100">
              <a:latin typeface="Book Antiqua" panose="02040602050305030304" pitchFamily="18" charset="0"/>
            </a:rPr>
            <a:t>Four nearest </a:t>
          </a:r>
          <a:r>
            <a:rPr lang="en-GB" sz="1100" baseline="0">
              <a:latin typeface="Book Antiqua" panose="02040602050305030304" pitchFamily="18" charset="0"/>
            </a:rPr>
            <a:t>neighbours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Usha Thangaraj, Integra-PDY, IN</dc:creator>
  <cp:lastModifiedBy>Christian Drondorf</cp:lastModifiedBy>
  <cp:revision>2</cp:revision>
  <dcterms:created xsi:type="dcterms:W3CDTF">2019-03-27T11:52:00Z</dcterms:created>
  <dcterms:modified xsi:type="dcterms:W3CDTF">2019-03-27T11:52:00Z</dcterms:modified>
</cp:coreProperties>
</file>