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C51D6" w14:textId="77777777" w:rsidR="00B758E6" w:rsidRPr="00814C5E" w:rsidRDefault="00E727EE" w:rsidP="003F4F12">
      <w:pPr>
        <w:pStyle w:val="Titel"/>
        <w:jc w:val="both"/>
        <w:rPr>
          <w:rFonts w:ascii="Times New Roman" w:hAnsi="Times New Roman" w:cs="Times New Roman"/>
          <w:color w:val="auto"/>
          <w:lang w:val="en-US"/>
        </w:rPr>
      </w:pPr>
      <w:bookmarkStart w:id="0" w:name="_GoBack"/>
      <w:bookmarkEnd w:id="0"/>
      <w:r w:rsidRPr="00814C5E">
        <w:rPr>
          <w:rFonts w:ascii="Times New Roman" w:hAnsi="Times New Roman" w:cs="Times New Roman"/>
          <w:color w:val="auto"/>
          <w:lang w:val="en-US"/>
        </w:rPr>
        <w:t xml:space="preserve">Supporting Information </w:t>
      </w:r>
    </w:p>
    <w:p w14:paraId="2644B77C" w14:textId="77777777" w:rsidR="00784C52" w:rsidRDefault="00784C52" w:rsidP="00EE2BFA">
      <w:pPr>
        <w:pStyle w:val="berschrift2"/>
        <w:rPr>
          <w:color w:val="auto"/>
          <w:lang w:val="en-US"/>
        </w:rPr>
      </w:pPr>
      <w:bookmarkStart w:id="1" w:name="_Toc377628814"/>
    </w:p>
    <w:p w14:paraId="07D750A1" w14:textId="5D9C94B2" w:rsidR="00B866C5" w:rsidRPr="0016230B" w:rsidRDefault="00A70101" w:rsidP="00EE2BFA">
      <w:pPr>
        <w:pStyle w:val="berschrift2"/>
        <w:rPr>
          <w:color w:val="auto"/>
          <w:lang w:val="en-US"/>
        </w:rPr>
      </w:pPr>
      <w:r w:rsidRPr="0016230B">
        <w:rPr>
          <w:color w:val="auto"/>
          <w:lang w:val="en-US"/>
        </w:rPr>
        <w:t>O</w:t>
      </w:r>
      <w:r w:rsidR="00EE2BFA" w:rsidRPr="0016230B">
        <w:rPr>
          <w:color w:val="auto"/>
          <w:lang w:val="en-US"/>
        </w:rPr>
        <w:t>verview</w:t>
      </w:r>
      <w:r w:rsidR="0032378A" w:rsidRPr="0016230B">
        <w:rPr>
          <w:color w:val="auto"/>
          <w:lang w:val="en-US"/>
        </w:rPr>
        <w:t xml:space="preserve"> </w:t>
      </w:r>
      <w:bookmarkEnd w:id="1"/>
    </w:p>
    <w:p w14:paraId="5B0151FF" w14:textId="77777777" w:rsidR="00EE2BFA" w:rsidRPr="00EE2BFA" w:rsidRDefault="00EE2BFA" w:rsidP="00EE2BFA">
      <w:pPr>
        <w:rPr>
          <w:lang w:val="en-US"/>
        </w:rPr>
      </w:pPr>
    </w:p>
    <w:p w14:paraId="1AFFF1C3" w14:textId="552BF713" w:rsidR="006438EE" w:rsidRDefault="007412A4" w:rsidP="00EE2BFA">
      <w:pPr>
        <w:jc w:val="both"/>
        <w:rPr>
          <w:rFonts w:ascii="Times New Roman" w:hAnsi="Times New Roman" w:cs="Times New Roman"/>
          <w:lang w:val="en-US"/>
        </w:rPr>
      </w:pPr>
      <w:r w:rsidRPr="002D43D2">
        <w:rPr>
          <w:rFonts w:ascii="Times New Roman" w:hAnsi="Times New Roman" w:cs="Times New Roman"/>
          <w:lang w:val="en-US"/>
        </w:rPr>
        <w:t>The following chapters provide details on the data sources and methods used for the calculation of land use, biomass flows and HANPP between 1883 and 2007</w:t>
      </w:r>
      <w:r w:rsidR="00EE2BFA">
        <w:rPr>
          <w:rFonts w:ascii="Times New Roman" w:hAnsi="Times New Roman" w:cs="Times New Roman"/>
          <w:lang w:val="en-US"/>
        </w:rPr>
        <w:t xml:space="preserve"> on the level of all single land and biomass categories entering the final data set</w:t>
      </w:r>
      <w:r w:rsidRPr="002D43D2">
        <w:rPr>
          <w:rFonts w:ascii="Times New Roman" w:hAnsi="Times New Roman" w:cs="Times New Roman"/>
          <w:lang w:val="en-US"/>
        </w:rPr>
        <w:t xml:space="preserve">. All data sets are based on primary data from national statistics </w:t>
      </w:r>
      <w:r w:rsidRPr="00DC4057">
        <w:rPr>
          <w:rFonts w:ascii="Times New Roman" w:hAnsi="Times New Roman"/>
          <w:lang w:val="en-US"/>
        </w:rPr>
        <w:t>(Kaiserliches Statistisches Amt 1884-1917; StRA 1918-1848; Des</w:t>
      </w:r>
      <w:r w:rsidR="00EE2BFA">
        <w:rPr>
          <w:rFonts w:ascii="Times New Roman" w:hAnsi="Times New Roman"/>
          <w:lang w:val="en-US"/>
        </w:rPr>
        <w:t>tatis 1950-2013; SZS 1950-1989), which were digitalized for every fifth year. Some of the statistical data w</w:t>
      </w:r>
      <w:r w:rsidR="00DA6D94">
        <w:rPr>
          <w:rFonts w:ascii="Times New Roman" w:hAnsi="Times New Roman"/>
          <w:lang w:val="en-US"/>
        </w:rPr>
        <w:t>ere</w:t>
      </w:r>
      <w:r w:rsidR="00EE2BFA">
        <w:rPr>
          <w:rFonts w:ascii="Times New Roman" w:hAnsi="Times New Roman"/>
          <w:lang w:val="en-US"/>
        </w:rPr>
        <w:t xml:space="preserve"> already available in s</w:t>
      </w:r>
      <w:r w:rsidRPr="00DC4057">
        <w:rPr>
          <w:rFonts w:ascii="Times New Roman" w:hAnsi="Times New Roman" w:cs="Times New Roman"/>
          <w:lang w:val="en-US"/>
        </w:rPr>
        <w:t>econdary literature (Hoffmann</w:t>
      </w:r>
      <w:r w:rsidR="0016230B">
        <w:rPr>
          <w:rFonts w:ascii="Times New Roman" w:hAnsi="Times New Roman" w:cs="Times New Roman"/>
          <w:lang w:val="en-US"/>
        </w:rPr>
        <w:t xml:space="preserve"> et al.</w:t>
      </w:r>
      <w:r w:rsidRPr="00DC4057">
        <w:rPr>
          <w:rFonts w:ascii="Times New Roman" w:hAnsi="Times New Roman" w:cs="Times New Roman"/>
          <w:lang w:val="en-US"/>
        </w:rPr>
        <w:t xml:space="preserve"> 1965; </w:t>
      </w:r>
      <w:r w:rsidR="00B63367">
        <w:rPr>
          <w:rFonts w:ascii="Times New Roman" w:hAnsi="Times New Roman" w:cs="Times New Roman"/>
          <w:lang w:val="en-US"/>
        </w:rPr>
        <w:t>Franzmann 2013; Franzmann 2012a</w:t>
      </w:r>
      <w:r w:rsidRPr="00DC4057">
        <w:rPr>
          <w:rFonts w:ascii="Times New Roman" w:hAnsi="Times New Roman" w:cs="Times New Roman"/>
          <w:lang w:val="en-US"/>
        </w:rPr>
        <w:t>; Franzmann 2012b)</w:t>
      </w:r>
      <w:r>
        <w:rPr>
          <w:rFonts w:ascii="Times New Roman" w:hAnsi="Times New Roman" w:cs="Times New Roman"/>
          <w:lang w:val="en-US"/>
        </w:rPr>
        <w:t xml:space="preserve">. </w:t>
      </w:r>
      <w:r w:rsidR="006438EE">
        <w:rPr>
          <w:rFonts w:ascii="Times New Roman" w:hAnsi="Times New Roman" w:cs="Times New Roman"/>
          <w:lang w:val="en-US"/>
        </w:rPr>
        <w:t xml:space="preserve">In these cases the exact data sources are indicated in the text. </w:t>
      </w:r>
    </w:p>
    <w:p w14:paraId="1B6DBB1D" w14:textId="16113A5F" w:rsidR="007412A4" w:rsidRDefault="007412A4" w:rsidP="00EE2BFA">
      <w:pPr>
        <w:jc w:val="both"/>
        <w:rPr>
          <w:rFonts w:ascii="Times New Roman" w:hAnsi="Times New Roman" w:cs="Times New Roman"/>
          <w:lang w:val="en-US"/>
        </w:rPr>
      </w:pPr>
      <w:r w:rsidRPr="00213164">
        <w:rPr>
          <w:rFonts w:ascii="Times New Roman" w:hAnsi="Times New Roman" w:cs="Times New Roman"/>
          <w:lang w:val="en-US"/>
        </w:rPr>
        <w:t xml:space="preserve">In order to </w:t>
      </w:r>
      <w:r w:rsidR="00DA6D94">
        <w:rPr>
          <w:rFonts w:ascii="Times New Roman" w:hAnsi="Times New Roman" w:cs="Times New Roman"/>
          <w:lang w:val="en-US"/>
        </w:rPr>
        <w:t>guarantee</w:t>
      </w:r>
      <w:r w:rsidR="00DA6D94" w:rsidRPr="00213164">
        <w:rPr>
          <w:rFonts w:ascii="Times New Roman" w:hAnsi="Times New Roman" w:cs="Times New Roman"/>
          <w:lang w:val="en-US"/>
        </w:rPr>
        <w:t xml:space="preserve"> </w:t>
      </w:r>
      <w:r w:rsidRPr="00213164">
        <w:rPr>
          <w:rFonts w:ascii="Times New Roman" w:hAnsi="Times New Roman" w:cs="Times New Roman"/>
          <w:lang w:val="en-US"/>
        </w:rPr>
        <w:t xml:space="preserve">consistent </w:t>
      </w:r>
      <w:r w:rsidR="006438EE">
        <w:rPr>
          <w:rFonts w:ascii="Times New Roman" w:hAnsi="Times New Roman" w:cs="Times New Roman"/>
          <w:lang w:val="en-US"/>
        </w:rPr>
        <w:t xml:space="preserve">post-WW II </w:t>
      </w:r>
      <w:r w:rsidRPr="00213164">
        <w:rPr>
          <w:rFonts w:ascii="Times New Roman" w:hAnsi="Times New Roman" w:cs="Times New Roman"/>
          <w:lang w:val="en-US"/>
        </w:rPr>
        <w:t>territor</w:t>
      </w:r>
      <w:r w:rsidR="00DA6D94">
        <w:rPr>
          <w:rFonts w:ascii="Times New Roman" w:hAnsi="Times New Roman" w:cs="Times New Roman"/>
          <w:lang w:val="en-US"/>
        </w:rPr>
        <w:t>ial</w:t>
      </w:r>
      <w:r w:rsidRPr="00213164">
        <w:rPr>
          <w:rFonts w:ascii="Times New Roman" w:hAnsi="Times New Roman" w:cs="Times New Roman"/>
          <w:lang w:val="en-US"/>
        </w:rPr>
        <w:t xml:space="preserve"> extent for the entire </w:t>
      </w:r>
      <w:r w:rsidR="00DA6D94">
        <w:rPr>
          <w:rFonts w:ascii="Times New Roman" w:hAnsi="Times New Roman" w:cs="Times New Roman"/>
          <w:lang w:val="en-US"/>
        </w:rPr>
        <w:t xml:space="preserve">study </w:t>
      </w:r>
      <w:r w:rsidRPr="00213164">
        <w:rPr>
          <w:rFonts w:ascii="Times New Roman" w:hAnsi="Times New Roman" w:cs="Times New Roman"/>
          <w:lang w:val="en-US"/>
        </w:rPr>
        <w:t xml:space="preserve">period, we excluded </w:t>
      </w:r>
      <w:r w:rsidR="00DA6D94" w:rsidRPr="00213164">
        <w:rPr>
          <w:rFonts w:ascii="Times New Roman" w:hAnsi="Times New Roman" w:cs="Times New Roman"/>
          <w:lang w:val="en-US"/>
        </w:rPr>
        <w:t xml:space="preserve">in our calculation </w:t>
      </w:r>
      <w:r w:rsidRPr="00213164">
        <w:rPr>
          <w:rFonts w:ascii="Times New Roman" w:hAnsi="Times New Roman" w:cs="Times New Roman"/>
          <w:lang w:val="en-US"/>
        </w:rPr>
        <w:t xml:space="preserve">the provinces of East-Prussia, West-Prussia, Posen (West-Prussia since 1925), Silesia, Upper-Silesia, Lower-Silesia and Alsace-Lorraine </w:t>
      </w:r>
      <w:r w:rsidR="006438EE">
        <w:rPr>
          <w:rFonts w:ascii="Times New Roman" w:hAnsi="Times New Roman" w:cs="Times New Roman"/>
          <w:lang w:val="en-US"/>
        </w:rPr>
        <w:t>before 1945</w:t>
      </w:r>
      <w:r w:rsidRPr="00213164">
        <w:rPr>
          <w:rFonts w:ascii="Times New Roman" w:hAnsi="Times New Roman" w:cs="Times New Roman"/>
          <w:lang w:val="en-US"/>
        </w:rPr>
        <w:t xml:space="preserve">, and we included Pomerania as well as </w:t>
      </w:r>
      <w:r w:rsidR="00DA6D94">
        <w:rPr>
          <w:rFonts w:ascii="Times New Roman" w:hAnsi="Times New Roman" w:cs="Times New Roman"/>
          <w:lang w:val="en-US"/>
        </w:rPr>
        <w:t xml:space="preserve">parts of </w:t>
      </w:r>
      <w:r w:rsidRPr="00213164">
        <w:rPr>
          <w:rFonts w:ascii="Times New Roman" w:hAnsi="Times New Roman" w:cs="Times New Roman"/>
          <w:lang w:val="en-US"/>
        </w:rPr>
        <w:t>Brandenburg (Pomerania 24.7%, Brandenburg 69.5%).</w:t>
      </w:r>
    </w:p>
    <w:p w14:paraId="4C6A5ABB" w14:textId="77777777" w:rsidR="0016230B" w:rsidRPr="00213164" w:rsidRDefault="0016230B" w:rsidP="00EE2BFA">
      <w:pPr>
        <w:jc w:val="both"/>
        <w:rPr>
          <w:rFonts w:ascii="Times New Roman" w:hAnsi="Times New Roman" w:cs="Times New Roman"/>
          <w:lang w:val="en-US"/>
        </w:rPr>
      </w:pPr>
    </w:p>
    <w:p w14:paraId="1D9DF0D1" w14:textId="2DD95F48" w:rsidR="00213164" w:rsidRPr="00213164" w:rsidRDefault="00FB267A" w:rsidP="00EE2BFA">
      <w:pPr>
        <w:pStyle w:val="berschrift2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en-US"/>
        </w:rPr>
      </w:pPr>
      <w:bookmarkStart w:id="2" w:name="_Ref368470728"/>
      <w:bookmarkStart w:id="3" w:name="_Toc377628815"/>
      <w:r w:rsidRPr="003F4F12">
        <w:rPr>
          <w:rFonts w:ascii="Times New Roman" w:hAnsi="Times New Roman" w:cs="Times New Roman"/>
          <w:color w:val="auto"/>
          <w:lang w:val="en-US"/>
        </w:rPr>
        <w:t>Land use change</w:t>
      </w:r>
      <w:bookmarkEnd w:id="2"/>
      <w:bookmarkEnd w:id="3"/>
      <w:r w:rsidRPr="003F4F12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29B8A821" w14:textId="5549DDDE" w:rsidR="000E390E" w:rsidRPr="003F4F12" w:rsidRDefault="000E390E" w:rsidP="00EE2BFA">
      <w:pPr>
        <w:pStyle w:val="berschrift3"/>
        <w:numPr>
          <w:ilvl w:val="1"/>
          <w:numId w:val="23"/>
        </w:numPr>
        <w:jc w:val="both"/>
        <w:rPr>
          <w:rFonts w:ascii="Times New Roman" w:hAnsi="Times New Roman" w:cs="Times New Roman"/>
          <w:color w:val="auto"/>
          <w:lang w:val="en-GB"/>
        </w:rPr>
      </w:pPr>
      <w:bookmarkStart w:id="4" w:name="_Toc377628816"/>
      <w:r w:rsidRPr="003F4F12">
        <w:rPr>
          <w:rFonts w:ascii="Times New Roman" w:hAnsi="Times New Roman" w:cs="Times New Roman"/>
          <w:color w:val="auto"/>
          <w:lang w:val="en-GB"/>
        </w:rPr>
        <w:t>Cropland</w:t>
      </w:r>
      <w:bookmarkEnd w:id="4"/>
    </w:p>
    <w:p w14:paraId="2C16C9B7" w14:textId="637C8086" w:rsidR="00AC6CB2" w:rsidRPr="003F4F12" w:rsidRDefault="00F513A5" w:rsidP="00EE2BF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Cropland i</w:t>
      </w:r>
      <w:r w:rsidR="004512CF" w:rsidRPr="003F4F12">
        <w:rPr>
          <w:rFonts w:ascii="Times New Roman" w:hAnsi="Times New Roman" w:cs="Times New Roman"/>
          <w:lang w:val="en-US"/>
        </w:rPr>
        <w:t xml:space="preserve">ncludes areas planted to annual and perennial crops </w:t>
      </w:r>
      <w:r>
        <w:rPr>
          <w:rFonts w:ascii="Times New Roman" w:hAnsi="Times New Roman" w:cs="Times New Roman"/>
          <w:lang w:val="en-US"/>
        </w:rPr>
        <w:t>and</w:t>
      </w:r>
      <w:r w:rsidR="004512CF" w:rsidRPr="003F4F12">
        <w:rPr>
          <w:rFonts w:ascii="Times New Roman" w:hAnsi="Times New Roman" w:cs="Times New Roman"/>
          <w:lang w:val="en-US"/>
        </w:rPr>
        <w:t xml:space="preserve"> temporary fallow</w:t>
      </w:r>
      <w:r>
        <w:rPr>
          <w:rFonts w:ascii="Times New Roman" w:hAnsi="Times New Roman" w:cs="Times New Roman"/>
          <w:lang w:val="en-US"/>
        </w:rPr>
        <w:t xml:space="preserve"> land. </w:t>
      </w:r>
      <w:r w:rsidR="00B866C5">
        <w:rPr>
          <w:rFonts w:ascii="Times New Roman" w:hAnsi="Times New Roman" w:cs="Times New Roman"/>
          <w:lang w:val="en-US"/>
        </w:rPr>
        <w:t xml:space="preserve">Statistics </w:t>
      </w:r>
      <w:r w:rsidR="00AC6CB2" w:rsidRPr="003F4F12">
        <w:rPr>
          <w:rFonts w:ascii="Times New Roman" w:hAnsi="Times New Roman" w:cs="Times New Roman"/>
          <w:lang w:val="en-US"/>
        </w:rPr>
        <w:t xml:space="preserve">before 1927 </w:t>
      </w:r>
      <w:r w:rsidR="000E390E" w:rsidRPr="003F4F12">
        <w:rPr>
          <w:rFonts w:ascii="Times New Roman" w:hAnsi="Times New Roman" w:cs="Times New Roman"/>
          <w:lang w:val="en-US"/>
        </w:rPr>
        <w:t xml:space="preserve">only </w:t>
      </w:r>
      <w:r w:rsidR="00AC6CB2" w:rsidRPr="003F4F12">
        <w:rPr>
          <w:rFonts w:ascii="Times New Roman" w:hAnsi="Times New Roman" w:cs="Times New Roman"/>
          <w:lang w:val="en-US"/>
        </w:rPr>
        <w:t xml:space="preserve">documented areas planted to the most common crops, such as cereals, fodder crops and potatoes, but lacked documentation for other crops. </w:t>
      </w:r>
      <w:r w:rsidR="000E390E" w:rsidRPr="003F4F12">
        <w:rPr>
          <w:rFonts w:ascii="Times New Roman" w:hAnsi="Times New Roman" w:cs="Times New Roman"/>
          <w:lang w:val="en-US"/>
        </w:rPr>
        <w:t>Thus the category “other crops” was introduced</w:t>
      </w:r>
      <w:r>
        <w:rPr>
          <w:rFonts w:ascii="Times New Roman" w:hAnsi="Times New Roman" w:cs="Times New Roman"/>
          <w:lang w:val="en-US"/>
        </w:rPr>
        <w:t xml:space="preserve"> and it was calculated by subtracting all reported crop areas and fallow land extent from total cropland. </w:t>
      </w:r>
      <w:r w:rsidR="00AC6CB2" w:rsidRPr="003F4F12">
        <w:rPr>
          <w:rFonts w:ascii="Times New Roman" w:hAnsi="Times New Roman" w:cs="Times New Roman"/>
          <w:lang w:val="en-US"/>
        </w:rPr>
        <w:t xml:space="preserve"> </w:t>
      </w:r>
      <w:r w:rsidR="000710A0">
        <w:rPr>
          <w:rFonts w:ascii="Times New Roman" w:hAnsi="Times New Roman" w:cs="Times New Roman"/>
          <w:lang w:val="en-US"/>
        </w:rPr>
        <w:t xml:space="preserve">The share of these areas to total arable land increased from 16% in 1883 to 22% around 1900 and decreased to 18% by 1938. </w:t>
      </w:r>
      <w:r w:rsidRPr="003F4F12">
        <w:rPr>
          <w:rFonts w:ascii="Times New Roman" w:hAnsi="Times New Roman" w:cs="Times New Roman"/>
          <w:lang w:val="en-US"/>
        </w:rPr>
        <w:t>From 188</w:t>
      </w:r>
      <w:r w:rsidR="000710A0">
        <w:rPr>
          <w:rFonts w:ascii="Times New Roman" w:hAnsi="Times New Roman" w:cs="Times New Roman"/>
          <w:lang w:val="en-US"/>
        </w:rPr>
        <w:t>3</w:t>
      </w:r>
      <w:r w:rsidRPr="003F4F12">
        <w:rPr>
          <w:rFonts w:ascii="Times New Roman" w:hAnsi="Times New Roman" w:cs="Times New Roman"/>
          <w:lang w:val="en-US"/>
        </w:rPr>
        <w:t xml:space="preserve"> to 193</w:t>
      </w:r>
      <w:r>
        <w:rPr>
          <w:rFonts w:ascii="Times New Roman" w:hAnsi="Times New Roman" w:cs="Times New Roman"/>
          <w:lang w:val="en-US"/>
        </w:rPr>
        <w:t>0</w:t>
      </w:r>
      <w:r w:rsidR="00DA6D94">
        <w:rPr>
          <w:rFonts w:ascii="Times New Roman" w:hAnsi="Times New Roman" w:cs="Times New Roman"/>
          <w:lang w:val="en-US"/>
        </w:rPr>
        <w:t xml:space="preserve">, no </w:t>
      </w:r>
      <w:r w:rsidRPr="003F4F12">
        <w:rPr>
          <w:rFonts w:ascii="Times New Roman" w:hAnsi="Times New Roman" w:cs="Times New Roman"/>
          <w:lang w:val="en-US"/>
        </w:rPr>
        <w:t xml:space="preserve">provincial data on </w:t>
      </w:r>
      <w:r w:rsidR="008619F0">
        <w:rPr>
          <w:rFonts w:ascii="Times New Roman" w:hAnsi="Times New Roman" w:cs="Times New Roman"/>
          <w:lang w:val="en-US"/>
        </w:rPr>
        <w:t>t</w:t>
      </w:r>
      <w:r w:rsidR="00DA6D94">
        <w:rPr>
          <w:rFonts w:ascii="Times New Roman" w:hAnsi="Times New Roman" w:cs="Times New Roman"/>
          <w:lang w:val="en-US"/>
        </w:rPr>
        <w:t xml:space="preserve">he extent of </w:t>
      </w:r>
      <w:r>
        <w:rPr>
          <w:rFonts w:ascii="Times New Roman" w:hAnsi="Times New Roman" w:cs="Times New Roman"/>
          <w:lang w:val="en-US"/>
        </w:rPr>
        <w:t xml:space="preserve">fallow land </w:t>
      </w:r>
      <w:r w:rsidR="00DA6D94">
        <w:rPr>
          <w:rFonts w:ascii="Times New Roman" w:hAnsi="Times New Roman" w:cs="Times New Roman"/>
          <w:lang w:val="en-US"/>
        </w:rPr>
        <w:t>were available and</w:t>
      </w:r>
      <w:r w:rsidRPr="003F4F12">
        <w:rPr>
          <w:rFonts w:ascii="Times New Roman" w:hAnsi="Times New Roman" w:cs="Times New Roman"/>
          <w:lang w:val="en-US"/>
        </w:rPr>
        <w:t xml:space="preserve"> </w:t>
      </w:r>
      <w:r w:rsidR="00DA6D94">
        <w:rPr>
          <w:rFonts w:ascii="Times New Roman" w:hAnsi="Times New Roman" w:cs="Times New Roman"/>
          <w:lang w:val="en-US"/>
        </w:rPr>
        <w:t xml:space="preserve">we used </w:t>
      </w:r>
      <w:r w:rsidRPr="003F4F12">
        <w:rPr>
          <w:rFonts w:ascii="Times New Roman" w:hAnsi="Times New Roman" w:cs="Times New Roman"/>
          <w:lang w:val="en-US"/>
        </w:rPr>
        <w:t xml:space="preserve">data for the total German Empire </w:t>
      </w:r>
      <w:r w:rsidR="00DA6D94">
        <w:rPr>
          <w:rFonts w:ascii="Times New Roman" w:hAnsi="Times New Roman" w:cs="Times New Roman"/>
          <w:lang w:val="en-US"/>
        </w:rPr>
        <w:t>instead</w:t>
      </w:r>
      <w:r w:rsidRPr="003F4F12">
        <w:rPr>
          <w:rFonts w:ascii="Times New Roman" w:hAnsi="Times New Roman" w:cs="Times New Roman"/>
          <w:lang w:val="en-US"/>
        </w:rPr>
        <w:t xml:space="preserve">. Thus </w:t>
      </w:r>
      <w:r>
        <w:rPr>
          <w:rFonts w:ascii="Times New Roman" w:hAnsi="Times New Roman" w:cs="Times New Roman"/>
          <w:lang w:val="en-US"/>
        </w:rPr>
        <w:t xml:space="preserve">the share of fallow land to total cropland for the German Empire was used to calculate fallow land extent in this time period. </w:t>
      </w:r>
    </w:p>
    <w:p w14:paraId="01452F27" w14:textId="3DD5DF4F" w:rsidR="0034379C" w:rsidRPr="003F4F12" w:rsidRDefault="0034379C" w:rsidP="00EE2BFA">
      <w:pPr>
        <w:pStyle w:val="berschrift3"/>
        <w:numPr>
          <w:ilvl w:val="1"/>
          <w:numId w:val="23"/>
        </w:numPr>
        <w:jc w:val="both"/>
        <w:rPr>
          <w:rFonts w:ascii="Times New Roman" w:hAnsi="Times New Roman" w:cs="Times New Roman"/>
          <w:color w:val="auto"/>
          <w:lang w:val="en-GB"/>
        </w:rPr>
      </w:pPr>
      <w:bookmarkStart w:id="5" w:name="_Toc377628817"/>
      <w:r w:rsidRPr="003F4F12">
        <w:rPr>
          <w:rFonts w:ascii="Times New Roman" w:hAnsi="Times New Roman" w:cs="Times New Roman"/>
          <w:color w:val="auto"/>
          <w:lang w:val="en-GB"/>
        </w:rPr>
        <w:t>Grassland</w:t>
      </w:r>
      <w:bookmarkEnd w:id="5"/>
    </w:p>
    <w:p w14:paraId="1D0B2AFF" w14:textId="5499B477" w:rsidR="00BC64B6" w:rsidRDefault="008F538D" w:rsidP="00BC64B6">
      <w:pPr>
        <w:jc w:val="both"/>
        <w:rPr>
          <w:rFonts w:ascii="Times New Roman" w:hAnsi="Times New Roman" w:cs="Times New Roman"/>
          <w:lang w:val="en-US"/>
        </w:rPr>
      </w:pPr>
      <w:r w:rsidRPr="003F4F12">
        <w:rPr>
          <w:rFonts w:ascii="Times New Roman" w:hAnsi="Times New Roman" w:cs="Times New Roman"/>
          <w:lang w:val="en-US"/>
        </w:rPr>
        <w:t xml:space="preserve">Grassland </w:t>
      </w:r>
      <w:r w:rsidR="00CA6552" w:rsidRPr="003F4F12">
        <w:rPr>
          <w:rFonts w:ascii="Times New Roman" w:hAnsi="Times New Roman" w:cs="Times New Roman"/>
          <w:lang w:val="en-US"/>
        </w:rPr>
        <w:t>consists</w:t>
      </w:r>
      <w:r w:rsidRPr="003F4F12">
        <w:rPr>
          <w:rFonts w:ascii="Times New Roman" w:hAnsi="Times New Roman" w:cs="Times New Roman"/>
          <w:lang w:val="en-US"/>
        </w:rPr>
        <w:t xml:space="preserve"> of permanent meadows and pastures. From 188</w:t>
      </w:r>
      <w:r w:rsidR="000710A0">
        <w:rPr>
          <w:rFonts w:ascii="Times New Roman" w:hAnsi="Times New Roman" w:cs="Times New Roman"/>
          <w:lang w:val="en-US"/>
        </w:rPr>
        <w:t>3</w:t>
      </w:r>
      <w:r w:rsidRPr="003F4F12">
        <w:rPr>
          <w:rFonts w:ascii="Times New Roman" w:hAnsi="Times New Roman" w:cs="Times New Roman"/>
          <w:lang w:val="en-US"/>
        </w:rPr>
        <w:t xml:space="preserve"> to 193</w:t>
      </w:r>
      <w:r w:rsidR="00281158" w:rsidRPr="003F4F12">
        <w:rPr>
          <w:rFonts w:ascii="Times New Roman" w:hAnsi="Times New Roman" w:cs="Times New Roman"/>
          <w:lang w:val="en-US"/>
        </w:rPr>
        <w:t>2</w:t>
      </w:r>
      <w:r w:rsidR="00F513A5">
        <w:rPr>
          <w:rFonts w:ascii="Times New Roman" w:hAnsi="Times New Roman" w:cs="Times New Roman"/>
          <w:lang w:val="en-US"/>
        </w:rPr>
        <w:t>, when no provincial data on grassland extent w</w:t>
      </w:r>
      <w:r w:rsidR="00FE2DDA">
        <w:rPr>
          <w:rFonts w:ascii="Times New Roman" w:hAnsi="Times New Roman" w:cs="Times New Roman"/>
          <w:lang w:val="en-US"/>
        </w:rPr>
        <w:t>ere</w:t>
      </w:r>
      <w:r w:rsidR="00F513A5">
        <w:rPr>
          <w:rFonts w:ascii="Times New Roman" w:hAnsi="Times New Roman" w:cs="Times New Roman"/>
          <w:lang w:val="en-US"/>
        </w:rPr>
        <w:t xml:space="preserve"> provided by the national</w:t>
      </w:r>
      <w:r w:rsidRPr="003F4F12">
        <w:rPr>
          <w:rFonts w:ascii="Times New Roman" w:hAnsi="Times New Roman" w:cs="Times New Roman"/>
          <w:lang w:val="en-US"/>
        </w:rPr>
        <w:t xml:space="preserve"> stati</w:t>
      </w:r>
      <w:r w:rsidR="00FE2DDA">
        <w:rPr>
          <w:rFonts w:ascii="Times New Roman" w:hAnsi="Times New Roman" w:cs="Times New Roman"/>
          <w:lang w:val="en-US"/>
        </w:rPr>
        <w:t>sti</w:t>
      </w:r>
      <w:r w:rsidRPr="003F4F12">
        <w:rPr>
          <w:rFonts w:ascii="Times New Roman" w:hAnsi="Times New Roman" w:cs="Times New Roman"/>
          <w:lang w:val="en-US"/>
        </w:rPr>
        <w:t>cs</w:t>
      </w:r>
      <w:r w:rsidR="00F513A5">
        <w:rPr>
          <w:rFonts w:ascii="Times New Roman" w:hAnsi="Times New Roman" w:cs="Times New Roman"/>
          <w:lang w:val="en-US"/>
        </w:rPr>
        <w:t xml:space="preserve">, we </w:t>
      </w:r>
      <w:r w:rsidR="00FC1816">
        <w:rPr>
          <w:rFonts w:ascii="Times New Roman" w:hAnsi="Times New Roman" w:cs="Times New Roman"/>
          <w:lang w:val="en-US"/>
        </w:rPr>
        <w:t xml:space="preserve">assumed that the share of grassland </w:t>
      </w:r>
      <w:r w:rsidR="00AA0190">
        <w:rPr>
          <w:rFonts w:ascii="Times New Roman" w:hAnsi="Times New Roman" w:cs="Times New Roman"/>
          <w:lang w:val="en-US"/>
        </w:rPr>
        <w:t xml:space="preserve">to the territory (in 2013 borders) </w:t>
      </w:r>
      <w:r w:rsidR="00FC1816">
        <w:rPr>
          <w:rFonts w:ascii="Times New Roman" w:hAnsi="Times New Roman" w:cs="Times New Roman"/>
          <w:lang w:val="en-US"/>
        </w:rPr>
        <w:t xml:space="preserve">was equal to the share of grasslands </w:t>
      </w:r>
      <w:r w:rsidR="00AA0190">
        <w:rPr>
          <w:rFonts w:ascii="Times New Roman" w:hAnsi="Times New Roman" w:cs="Times New Roman"/>
          <w:lang w:val="en-US"/>
        </w:rPr>
        <w:t>to</w:t>
      </w:r>
      <w:r w:rsidR="00FC1816">
        <w:rPr>
          <w:rFonts w:ascii="Times New Roman" w:hAnsi="Times New Roman" w:cs="Times New Roman"/>
          <w:lang w:val="en-US"/>
        </w:rPr>
        <w:t xml:space="preserve"> the entire territory of the Germany Empire. </w:t>
      </w:r>
      <w:bookmarkStart w:id="6" w:name="_Toc377628818"/>
    </w:p>
    <w:p w14:paraId="13E0036E" w14:textId="50B736E5" w:rsidR="000E390E" w:rsidRPr="00BC64B6" w:rsidRDefault="000E390E" w:rsidP="00BC64B6">
      <w:pPr>
        <w:pStyle w:val="berschrift3"/>
        <w:numPr>
          <w:ilvl w:val="1"/>
          <w:numId w:val="23"/>
        </w:numPr>
        <w:jc w:val="both"/>
        <w:rPr>
          <w:rFonts w:ascii="Times New Roman" w:hAnsi="Times New Roman" w:cs="Times New Roman"/>
          <w:color w:val="auto"/>
          <w:lang w:val="en-GB"/>
        </w:rPr>
      </w:pPr>
      <w:r w:rsidRPr="00BC64B6">
        <w:rPr>
          <w:rFonts w:ascii="Times New Roman" w:hAnsi="Times New Roman" w:cs="Times New Roman"/>
          <w:color w:val="auto"/>
          <w:lang w:val="en-GB"/>
        </w:rPr>
        <w:t>Forest land</w:t>
      </w:r>
      <w:bookmarkEnd w:id="6"/>
      <w:r w:rsidRPr="00BC64B6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13F0441E" w14:textId="1958A4A6" w:rsidR="00D037E4" w:rsidRPr="003F4F12" w:rsidRDefault="000E390E" w:rsidP="00EE2BFA">
      <w:pPr>
        <w:jc w:val="both"/>
        <w:rPr>
          <w:rFonts w:ascii="Times New Roman" w:hAnsi="Times New Roman" w:cs="Times New Roman"/>
          <w:lang w:val="en-GB"/>
        </w:rPr>
      </w:pPr>
      <w:r w:rsidRPr="003F4F12">
        <w:rPr>
          <w:rFonts w:ascii="Times New Roman" w:hAnsi="Times New Roman" w:cs="Times New Roman"/>
          <w:lang w:val="en-GB"/>
        </w:rPr>
        <w:t xml:space="preserve">Refers to all areas covered with natural forests and forest plantations. </w:t>
      </w:r>
      <w:r w:rsidR="00FE5105" w:rsidRPr="003F4F12">
        <w:rPr>
          <w:rFonts w:ascii="Times New Roman" w:hAnsi="Times New Roman" w:cs="Times New Roman"/>
          <w:lang w:val="en-GB"/>
        </w:rPr>
        <w:t xml:space="preserve">All data </w:t>
      </w:r>
      <w:r w:rsidR="00D037E4" w:rsidRPr="003F4F12">
        <w:rPr>
          <w:rFonts w:ascii="Times New Roman" w:hAnsi="Times New Roman" w:cs="Times New Roman"/>
          <w:lang w:val="en-GB"/>
        </w:rPr>
        <w:t>were taken from the national statistics, between 1950 and 2007</w:t>
      </w:r>
      <w:r w:rsidR="00FE5105" w:rsidRPr="003F4F12">
        <w:rPr>
          <w:rFonts w:ascii="Times New Roman" w:hAnsi="Times New Roman" w:cs="Times New Roman"/>
          <w:lang w:val="en-GB"/>
        </w:rPr>
        <w:t xml:space="preserve"> data for West </w:t>
      </w:r>
      <w:r w:rsidR="00420C29" w:rsidRPr="003F4F12">
        <w:rPr>
          <w:rFonts w:ascii="Times New Roman" w:hAnsi="Times New Roman" w:cs="Times New Roman"/>
          <w:lang w:val="en-GB"/>
        </w:rPr>
        <w:t>Germany</w:t>
      </w:r>
      <w:r w:rsidR="00D037E4" w:rsidRPr="003F4F12">
        <w:rPr>
          <w:rFonts w:ascii="Times New Roman" w:hAnsi="Times New Roman" w:cs="Times New Roman"/>
          <w:lang w:val="en-GB"/>
        </w:rPr>
        <w:t xml:space="preserve"> were taken from Franzmann (2013)</w:t>
      </w:r>
      <w:r w:rsidR="00D037E4" w:rsidRPr="003F4F12">
        <w:rPr>
          <w:rFonts w:ascii="Times New Roman" w:hAnsi="Times New Roman" w:cs="Times New Roman"/>
          <w:lang w:val="en-US"/>
        </w:rPr>
        <w:t>.</w:t>
      </w:r>
    </w:p>
    <w:p w14:paraId="0371EC5F" w14:textId="564127C2" w:rsidR="00CA6552" w:rsidRPr="003F4F12" w:rsidRDefault="000E390E" w:rsidP="00EE2BFA">
      <w:pPr>
        <w:pStyle w:val="berschrift3"/>
        <w:numPr>
          <w:ilvl w:val="1"/>
          <w:numId w:val="23"/>
        </w:numPr>
        <w:jc w:val="both"/>
        <w:rPr>
          <w:rFonts w:ascii="Times New Roman" w:hAnsi="Times New Roman" w:cs="Times New Roman"/>
          <w:color w:val="auto"/>
          <w:lang w:val="en-GB"/>
        </w:rPr>
      </w:pPr>
      <w:bookmarkStart w:id="7" w:name="_Toc377628819"/>
      <w:r w:rsidRPr="003F4F12">
        <w:rPr>
          <w:rFonts w:ascii="Times New Roman" w:hAnsi="Times New Roman" w:cs="Times New Roman"/>
          <w:color w:val="auto"/>
          <w:lang w:val="en-GB"/>
        </w:rPr>
        <w:t>Settlement</w:t>
      </w:r>
      <w:r w:rsidR="00CA6552" w:rsidRPr="003F4F12">
        <w:rPr>
          <w:rFonts w:ascii="Times New Roman" w:hAnsi="Times New Roman" w:cs="Times New Roman"/>
          <w:color w:val="auto"/>
          <w:lang w:val="en-GB"/>
        </w:rPr>
        <w:t xml:space="preserve"> areas</w:t>
      </w:r>
      <w:bookmarkEnd w:id="7"/>
    </w:p>
    <w:p w14:paraId="4485B833" w14:textId="2E8FFCC5" w:rsidR="00E958DA" w:rsidRPr="003F4F12" w:rsidRDefault="00E958DA" w:rsidP="00EE2BFA">
      <w:pPr>
        <w:jc w:val="both"/>
        <w:rPr>
          <w:rFonts w:ascii="Times New Roman" w:hAnsi="Times New Roman" w:cs="Times New Roman"/>
          <w:lang w:val="en-US"/>
        </w:rPr>
      </w:pPr>
      <w:r w:rsidRPr="003F4F12">
        <w:rPr>
          <w:rFonts w:ascii="Times New Roman" w:hAnsi="Times New Roman" w:cs="Times New Roman"/>
          <w:lang w:val="en-US"/>
        </w:rPr>
        <w:t>Settlement areas after WW</w:t>
      </w:r>
      <w:r w:rsidR="001F3F49">
        <w:rPr>
          <w:rFonts w:ascii="Times New Roman" w:hAnsi="Times New Roman" w:cs="Times New Roman"/>
          <w:lang w:val="en-US"/>
        </w:rPr>
        <w:t xml:space="preserve"> </w:t>
      </w:r>
      <w:r w:rsidR="000435DD" w:rsidRPr="003F4F12">
        <w:rPr>
          <w:rFonts w:ascii="Times New Roman" w:hAnsi="Times New Roman" w:cs="Times New Roman"/>
          <w:lang w:val="en-US"/>
        </w:rPr>
        <w:t>II</w:t>
      </w:r>
      <w:r w:rsidRPr="003F4F12">
        <w:rPr>
          <w:rFonts w:ascii="Times New Roman" w:hAnsi="Times New Roman" w:cs="Times New Roman"/>
          <w:lang w:val="en-US"/>
        </w:rPr>
        <w:t xml:space="preserve"> were taken from</w:t>
      </w:r>
      <w:r w:rsidR="00D037E4" w:rsidRPr="003F4F12">
        <w:rPr>
          <w:rFonts w:ascii="Times New Roman" w:hAnsi="Times New Roman" w:cs="Times New Roman"/>
          <w:lang w:val="en-US"/>
        </w:rPr>
        <w:t xml:space="preserve"> </w:t>
      </w:r>
      <w:r w:rsidR="00D037E4" w:rsidRPr="003F4F12">
        <w:rPr>
          <w:rFonts w:ascii="Times New Roman" w:hAnsi="Times New Roman" w:cs="Times New Roman"/>
          <w:lang w:val="en-GB"/>
        </w:rPr>
        <w:t>Franzmann (2013)</w:t>
      </w:r>
      <w:r w:rsidR="0091285C" w:rsidRPr="003F4F12">
        <w:rPr>
          <w:rFonts w:ascii="Times New Roman" w:hAnsi="Times New Roman" w:cs="Times New Roman"/>
          <w:lang w:val="en-US"/>
        </w:rPr>
        <w:t>. Th</w:t>
      </w:r>
      <w:r w:rsidR="00005793" w:rsidRPr="003F4F12">
        <w:rPr>
          <w:rFonts w:ascii="Times New Roman" w:hAnsi="Times New Roman" w:cs="Times New Roman"/>
          <w:lang w:val="en-US"/>
        </w:rPr>
        <w:t>ese</w:t>
      </w:r>
      <w:r w:rsidR="0091285C" w:rsidRPr="003F4F12">
        <w:rPr>
          <w:rFonts w:ascii="Times New Roman" w:hAnsi="Times New Roman" w:cs="Times New Roman"/>
          <w:lang w:val="en-US"/>
        </w:rPr>
        <w:t xml:space="preserve"> values include inland water, which was subtracted and added to the category “other land”. F</w:t>
      </w:r>
      <w:r w:rsidRPr="003F4F12">
        <w:rPr>
          <w:rFonts w:ascii="Times New Roman" w:hAnsi="Times New Roman" w:cs="Times New Roman"/>
          <w:lang w:val="en-US"/>
        </w:rPr>
        <w:t>rom 1927 to 1931 data w</w:t>
      </w:r>
      <w:r w:rsidR="00084F73">
        <w:rPr>
          <w:rFonts w:ascii="Times New Roman" w:hAnsi="Times New Roman" w:cs="Times New Roman"/>
          <w:lang w:val="en-US"/>
        </w:rPr>
        <w:t>ere</w:t>
      </w:r>
      <w:r w:rsidRPr="003F4F12">
        <w:rPr>
          <w:rFonts w:ascii="Times New Roman" w:hAnsi="Times New Roman" w:cs="Times New Roman"/>
          <w:lang w:val="en-US"/>
        </w:rPr>
        <w:t xml:space="preserve"> taken from </w:t>
      </w:r>
      <w:r w:rsidRPr="003F4F12">
        <w:rPr>
          <w:rFonts w:ascii="Times New Roman" w:hAnsi="Times New Roman" w:cs="Times New Roman"/>
          <w:lang w:val="en-US"/>
        </w:rPr>
        <w:lastRenderedPageBreak/>
        <w:t xml:space="preserve">the </w:t>
      </w:r>
      <w:r w:rsidR="00D037E4" w:rsidRPr="003F4F12">
        <w:rPr>
          <w:rFonts w:ascii="Times New Roman" w:hAnsi="Times New Roman" w:cs="Times New Roman"/>
          <w:lang w:val="en-US"/>
        </w:rPr>
        <w:t>national statistics</w:t>
      </w:r>
      <w:r w:rsidRPr="003F4F12">
        <w:rPr>
          <w:rFonts w:ascii="Times New Roman" w:hAnsi="Times New Roman" w:cs="Times New Roman"/>
          <w:lang w:val="en-US"/>
        </w:rPr>
        <w:t xml:space="preserve"> and before 1927</w:t>
      </w:r>
      <w:r w:rsidR="00D037E4" w:rsidRPr="003F4F12">
        <w:rPr>
          <w:rFonts w:ascii="Times New Roman" w:hAnsi="Times New Roman" w:cs="Times New Roman"/>
          <w:lang w:val="en-US"/>
        </w:rPr>
        <w:t xml:space="preserve"> </w:t>
      </w:r>
      <w:r w:rsidR="0091285C" w:rsidRPr="003F4F12">
        <w:rPr>
          <w:rFonts w:ascii="Times New Roman" w:hAnsi="Times New Roman" w:cs="Times New Roman"/>
          <w:lang w:val="en-US"/>
        </w:rPr>
        <w:t xml:space="preserve">the mean </w:t>
      </w:r>
      <w:r w:rsidR="00084F73" w:rsidRPr="003F4F12">
        <w:rPr>
          <w:rFonts w:ascii="Times New Roman" w:hAnsi="Times New Roman" w:cs="Times New Roman"/>
          <w:lang w:val="en-US"/>
        </w:rPr>
        <w:t xml:space="preserve">per </w:t>
      </w:r>
      <w:r w:rsidR="00084F73">
        <w:rPr>
          <w:rFonts w:ascii="Times New Roman" w:hAnsi="Times New Roman" w:cs="Times New Roman"/>
          <w:lang w:val="en-US"/>
        </w:rPr>
        <w:t xml:space="preserve">capita </w:t>
      </w:r>
      <w:r w:rsidR="00084F73" w:rsidRPr="003F4F12">
        <w:rPr>
          <w:rFonts w:ascii="Times New Roman" w:hAnsi="Times New Roman" w:cs="Times New Roman"/>
          <w:lang w:val="en-US"/>
        </w:rPr>
        <w:t xml:space="preserve">demand </w:t>
      </w:r>
      <w:r w:rsidR="00084F73">
        <w:rPr>
          <w:rFonts w:ascii="Times New Roman" w:hAnsi="Times New Roman" w:cs="Times New Roman"/>
          <w:lang w:val="en-US"/>
        </w:rPr>
        <w:t>of settlement</w:t>
      </w:r>
      <w:r w:rsidR="00084F73" w:rsidRPr="003F4F12">
        <w:rPr>
          <w:rFonts w:ascii="Times New Roman" w:hAnsi="Times New Roman" w:cs="Times New Roman"/>
          <w:lang w:val="en-US"/>
        </w:rPr>
        <w:t xml:space="preserve"> </w:t>
      </w:r>
      <w:r w:rsidR="00084F73">
        <w:rPr>
          <w:rFonts w:ascii="Times New Roman" w:hAnsi="Times New Roman" w:cs="Times New Roman"/>
          <w:lang w:val="en-US"/>
        </w:rPr>
        <w:t>area</w:t>
      </w:r>
      <w:r w:rsidR="00084F73" w:rsidRPr="003F4F12">
        <w:rPr>
          <w:rFonts w:ascii="Times New Roman" w:hAnsi="Times New Roman" w:cs="Times New Roman"/>
          <w:lang w:val="en-US"/>
        </w:rPr>
        <w:t xml:space="preserve"> </w:t>
      </w:r>
      <w:r w:rsidR="00084F73">
        <w:rPr>
          <w:rFonts w:ascii="Times New Roman" w:hAnsi="Times New Roman" w:cs="Times New Roman"/>
          <w:lang w:val="en-US"/>
        </w:rPr>
        <w:t xml:space="preserve">from </w:t>
      </w:r>
      <w:r w:rsidR="00B866C5">
        <w:rPr>
          <w:rFonts w:ascii="Times New Roman" w:hAnsi="Times New Roman" w:cs="Times New Roman"/>
          <w:lang w:val="en-US"/>
        </w:rPr>
        <w:t>1927</w:t>
      </w:r>
      <w:r w:rsidR="00084F73">
        <w:rPr>
          <w:rFonts w:ascii="Times New Roman" w:hAnsi="Times New Roman" w:cs="Times New Roman"/>
          <w:lang w:val="en-US"/>
        </w:rPr>
        <w:t xml:space="preserve"> to </w:t>
      </w:r>
      <w:r w:rsidR="00B866C5">
        <w:rPr>
          <w:rFonts w:ascii="Times New Roman" w:hAnsi="Times New Roman" w:cs="Times New Roman"/>
          <w:lang w:val="en-US"/>
        </w:rPr>
        <w:t xml:space="preserve">1933 </w:t>
      </w:r>
      <w:r w:rsidR="0091285C" w:rsidRPr="003F4F12">
        <w:rPr>
          <w:rFonts w:ascii="Times New Roman" w:hAnsi="Times New Roman" w:cs="Times New Roman"/>
          <w:lang w:val="en-US"/>
        </w:rPr>
        <w:t xml:space="preserve">was </w:t>
      </w:r>
      <w:r w:rsidR="00084F73">
        <w:rPr>
          <w:rFonts w:ascii="Times New Roman" w:hAnsi="Times New Roman" w:cs="Times New Roman"/>
          <w:lang w:val="en-US"/>
        </w:rPr>
        <w:t>used</w:t>
      </w:r>
      <w:r w:rsidR="0091285C" w:rsidRPr="003F4F12">
        <w:rPr>
          <w:rFonts w:ascii="Times New Roman" w:hAnsi="Times New Roman" w:cs="Times New Roman"/>
          <w:lang w:val="en-US"/>
        </w:rPr>
        <w:t xml:space="preserve">. </w:t>
      </w:r>
    </w:p>
    <w:p w14:paraId="58F86580" w14:textId="77777777" w:rsidR="000E390E" w:rsidRPr="003F4F12" w:rsidRDefault="000E390E" w:rsidP="00EE2BFA">
      <w:pPr>
        <w:pStyle w:val="berschrift3"/>
        <w:numPr>
          <w:ilvl w:val="1"/>
          <w:numId w:val="23"/>
        </w:numPr>
        <w:jc w:val="both"/>
        <w:rPr>
          <w:rFonts w:ascii="Times New Roman" w:hAnsi="Times New Roman" w:cs="Times New Roman"/>
          <w:color w:val="auto"/>
          <w:lang w:val="en-GB"/>
        </w:rPr>
      </w:pPr>
      <w:bookmarkStart w:id="8" w:name="_Toc377628820"/>
      <w:r w:rsidRPr="003F4F12">
        <w:rPr>
          <w:rFonts w:ascii="Times New Roman" w:hAnsi="Times New Roman" w:cs="Times New Roman"/>
          <w:color w:val="auto"/>
          <w:lang w:val="en-GB"/>
        </w:rPr>
        <w:t>Other land</w:t>
      </w:r>
      <w:bookmarkEnd w:id="8"/>
      <w:r w:rsidRPr="003F4F12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3D27F7CF" w14:textId="165D7E3E" w:rsidR="00913B59" w:rsidRPr="00913B59" w:rsidRDefault="00005793" w:rsidP="00EE2BFA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913B59">
        <w:rPr>
          <w:rFonts w:ascii="Times New Roman" w:hAnsi="Times New Roman" w:cs="Times New Roman"/>
          <w:lang w:val="en-US"/>
        </w:rPr>
        <w:t xml:space="preserve">Other land </w:t>
      </w:r>
      <w:r w:rsidR="000435DD" w:rsidRPr="00913B59">
        <w:rPr>
          <w:rFonts w:ascii="Times New Roman" w:hAnsi="Times New Roman" w:cs="Times New Roman"/>
          <w:lang w:val="en-US"/>
        </w:rPr>
        <w:t xml:space="preserve">is calculated as the remainder of total </w:t>
      </w:r>
      <w:r w:rsidR="001F3F49" w:rsidRPr="00913B59">
        <w:rPr>
          <w:rFonts w:ascii="Times New Roman" w:hAnsi="Times New Roman" w:cs="Times New Roman"/>
          <w:lang w:val="en-US"/>
        </w:rPr>
        <w:t>land area and all other land use</w:t>
      </w:r>
      <w:r w:rsidR="000435DD" w:rsidRPr="00913B59">
        <w:rPr>
          <w:rFonts w:ascii="Times New Roman" w:hAnsi="Times New Roman" w:cs="Times New Roman"/>
          <w:lang w:val="en-US"/>
        </w:rPr>
        <w:t xml:space="preserve"> categories. It consists </w:t>
      </w:r>
      <w:r w:rsidR="00913B59" w:rsidRPr="00913B59">
        <w:rPr>
          <w:rFonts w:ascii="Times New Roman" w:hAnsi="Times New Roman" w:cs="Times New Roman"/>
          <w:lang w:val="en-US"/>
        </w:rPr>
        <w:t xml:space="preserve">of inland water bodies, wetlands, permanent snow and ice, permanent rocks, and </w:t>
      </w:r>
      <w:r w:rsidR="00E5372A">
        <w:rPr>
          <w:rFonts w:ascii="Times New Roman" w:hAnsi="Times New Roman" w:cs="Times New Roman"/>
          <w:lang w:val="en-US"/>
        </w:rPr>
        <w:t xml:space="preserve">other </w:t>
      </w:r>
      <w:r w:rsidR="000710A0">
        <w:rPr>
          <w:rFonts w:ascii="Times New Roman" w:hAnsi="Times New Roman" w:cs="Times New Roman"/>
          <w:lang w:val="en-US"/>
        </w:rPr>
        <w:t>un-used land.</w:t>
      </w:r>
      <w:r w:rsidR="00913B59" w:rsidRPr="00913B59">
        <w:rPr>
          <w:rFonts w:ascii="Times New Roman" w:hAnsi="Times New Roman" w:cs="Times New Roman"/>
          <w:lang w:val="en-US"/>
        </w:rPr>
        <w:t xml:space="preserve"> </w:t>
      </w:r>
    </w:p>
    <w:p w14:paraId="3B227ABC" w14:textId="6235987E" w:rsidR="0032378A" w:rsidRPr="00913B59" w:rsidRDefault="0032378A" w:rsidP="00EE2BFA">
      <w:pPr>
        <w:jc w:val="both"/>
        <w:rPr>
          <w:rFonts w:ascii="Times New Roman" w:hAnsi="Times New Roman" w:cs="Times New Roman"/>
          <w:lang w:val="en-US"/>
        </w:rPr>
      </w:pPr>
    </w:p>
    <w:p w14:paraId="337C93FA" w14:textId="1BF3925E" w:rsidR="000E390E" w:rsidRPr="0032378A" w:rsidRDefault="008179ED" w:rsidP="00EE2BFA">
      <w:pPr>
        <w:pStyle w:val="berschrift2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val="en-US"/>
        </w:rPr>
      </w:pPr>
      <w:bookmarkStart w:id="9" w:name="_Ref368470756"/>
      <w:bookmarkStart w:id="10" w:name="_Toc377628821"/>
      <w:r w:rsidRPr="003F4F12">
        <w:rPr>
          <w:rFonts w:ascii="Times New Roman" w:hAnsi="Times New Roman" w:cs="Times New Roman"/>
          <w:color w:val="auto"/>
          <w:lang w:val="en-US"/>
        </w:rPr>
        <w:t>Harvested NPP (</w:t>
      </w:r>
      <w:r w:rsidR="00FB267A" w:rsidRPr="003F4F12">
        <w:rPr>
          <w:rFonts w:ascii="Times New Roman" w:hAnsi="Times New Roman" w:cs="Times New Roman"/>
          <w:color w:val="auto"/>
          <w:lang w:val="en-US"/>
        </w:rPr>
        <w:t>HANPP</w:t>
      </w:r>
      <w:r w:rsidR="00FB267A" w:rsidRPr="00A4418A">
        <w:rPr>
          <w:rFonts w:ascii="Times New Roman" w:hAnsi="Times New Roman" w:cs="Times New Roman"/>
          <w:color w:val="auto"/>
          <w:vertAlign w:val="subscript"/>
          <w:lang w:val="en-US"/>
        </w:rPr>
        <w:t>harv</w:t>
      </w:r>
      <w:r w:rsidRPr="003F4F12">
        <w:rPr>
          <w:rFonts w:ascii="Times New Roman" w:hAnsi="Times New Roman" w:cs="Times New Roman"/>
          <w:color w:val="auto"/>
          <w:lang w:val="en-US"/>
        </w:rPr>
        <w:t>)</w:t>
      </w:r>
      <w:bookmarkEnd w:id="9"/>
      <w:bookmarkEnd w:id="10"/>
    </w:p>
    <w:p w14:paraId="4D45BD21" w14:textId="4EBBD8EF" w:rsidR="00400B84" w:rsidRPr="0032378A" w:rsidRDefault="0034379C" w:rsidP="00EE2BFA">
      <w:pPr>
        <w:pStyle w:val="berschrift3"/>
        <w:numPr>
          <w:ilvl w:val="1"/>
          <w:numId w:val="25"/>
        </w:numPr>
        <w:jc w:val="both"/>
        <w:rPr>
          <w:rFonts w:ascii="Times New Roman" w:hAnsi="Times New Roman" w:cs="Times New Roman"/>
          <w:color w:val="auto"/>
          <w:lang w:val="en-GB"/>
        </w:rPr>
      </w:pPr>
      <w:bookmarkStart w:id="11" w:name="_Ref368490683"/>
      <w:bookmarkStart w:id="12" w:name="_Toc377628822"/>
      <w:r w:rsidRPr="0032378A">
        <w:rPr>
          <w:rFonts w:ascii="Times New Roman" w:hAnsi="Times New Roman" w:cs="Times New Roman"/>
          <w:color w:val="auto"/>
          <w:lang w:val="en-GB"/>
        </w:rPr>
        <w:t>C</w:t>
      </w:r>
      <w:r w:rsidR="00400B84" w:rsidRPr="0032378A">
        <w:rPr>
          <w:rFonts w:ascii="Times New Roman" w:hAnsi="Times New Roman" w:cs="Times New Roman"/>
          <w:color w:val="auto"/>
          <w:lang w:val="en-GB"/>
        </w:rPr>
        <w:t xml:space="preserve">ropland </w:t>
      </w:r>
      <w:r w:rsidRPr="0032378A">
        <w:rPr>
          <w:rFonts w:ascii="Times New Roman" w:hAnsi="Times New Roman" w:cs="Times New Roman"/>
          <w:color w:val="auto"/>
          <w:lang w:val="en-GB"/>
        </w:rPr>
        <w:t>harvest</w:t>
      </w:r>
      <w:bookmarkEnd w:id="11"/>
      <w:bookmarkEnd w:id="12"/>
    </w:p>
    <w:p w14:paraId="09676F16" w14:textId="34B43D1E" w:rsidR="00214CB9" w:rsidRDefault="00400B84" w:rsidP="00EE2BFA">
      <w:pPr>
        <w:jc w:val="both"/>
        <w:rPr>
          <w:rFonts w:ascii="Times New Roman" w:hAnsi="Times New Roman" w:cs="Times New Roman"/>
          <w:lang w:val="en-US"/>
        </w:rPr>
      </w:pPr>
      <w:r w:rsidRPr="003F4F12">
        <w:rPr>
          <w:rFonts w:ascii="Times New Roman" w:hAnsi="Times New Roman" w:cs="Times New Roman"/>
          <w:lang w:val="en-US"/>
        </w:rPr>
        <w:t xml:space="preserve">Cropland harvest exists of all primary </w:t>
      </w:r>
      <w:r w:rsidR="007C284E" w:rsidRPr="003F4F12">
        <w:rPr>
          <w:rFonts w:ascii="Times New Roman" w:hAnsi="Times New Roman" w:cs="Times New Roman"/>
          <w:lang w:val="en-US"/>
        </w:rPr>
        <w:t>and</w:t>
      </w:r>
      <w:r w:rsidRPr="003F4F12">
        <w:rPr>
          <w:rFonts w:ascii="Times New Roman" w:hAnsi="Times New Roman" w:cs="Times New Roman"/>
          <w:lang w:val="en-US"/>
        </w:rPr>
        <w:t xml:space="preserve"> secondary </w:t>
      </w:r>
      <w:r w:rsidR="007C284E" w:rsidRPr="003F4F12">
        <w:rPr>
          <w:rFonts w:ascii="Times New Roman" w:hAnsi="Times New Roman" w:cs="Times New Roman"/>
          <w:lang w:val="en-US"/>
        </w:rPr>
        <w:t xml:space="preserve">(used and unused crop residues) </w:t>
      </w:r>
      <w:r w:rsidRPr="003F4F12">
        <w:rPr>
          <w:rFonts w:ascii="Times New Roman" w:hAnsi="Times New Roman" w:cs="Times New Roman"/>
          <w:lang w:val="en-US"/>
        </w:rPr>
        <w:t xml:space="preserve">harvest flows. Agricultural statistics usually report </w:t>
      </w:r>
      <w:r w:rsidR="007C284E" w:rsidRPr="003F4F12">
        <w:rPr>
          <w:rFonts w:ascii="Times New Roman" w:hAnsi="Times New Roman" w:cs="Times New Roman"/>
          <w:lang w:val="en-US"/>
        </w:rPr>
        <w:t xml:space="preserve">only </w:t>
      </w:r>
      <w:r w:rsidRPr="003F4F12">
        <w:rPr>
          <w:rFonts w:ascii="Times New Roman" w:hAnsi="Times New Roman" w:cs="Times New Roman"/>
          <w:lang w:val="en-US"/>
        </w:rPr>
        <w:t>primary</w:t>
      </w:r>
      <w:r w:rsidR="007C284E" w:rsidRPr="003F4F12">
        <w:rPr>
          <w:rFonts w:ascii="Times New Roman" w:hAnsi="Times New Roman" w:cs="Times New Roman"/>
          <w:lang w:val="en-US"/>
        </w:rPr>
        <w:t xml:space="preserve"> harvest, e.g.</w:t>
      </w:r>
      <w:r w:rsidR="008E615F">
        <w:rPr>
          <w:rFonts w:ascii="Times New Roman" w:hAnsi="Times New Roman" w:cs="Times New Roman"/>
          <w:lang w:val="en-US"/>
        </w:rPr>
        <w:t>,</w:t>
      </w:r>
      <w:r w:rsidR="007C284E" w:rsidRPr="003F4F12">
        <w:rPr>
          <w:rFonts w:ascii="Times New Roman" w:hAnsi="Times New Roman" w:cs="Times New Roman"/>
          <w:lang w:val="en-US"/>
        </w:rPr>
        <w:t xml:space="preserve"> the merchantable parts of a plant in fresh weight. </w:t>
      </w:r>
      <w:r w:rsidR="00214CB9">
        <w:rPr>
          <w:rFonts w:ascii="Times New Roman" w:hAnsi="Times New Roman" w:cs="Times New Roman"/>
          <w:lang w:val="en-US"/>
        </w:rPr>
        <w:t>In a first step</w:t>
      </w:r>
      <w:r w:rsidR="008E615F">
        <w:rPr>
          <w:rFonts w:ascii="Times New Roman" w:hAnsi="Times New Roman" w:cs="Times New Roman"/>
          <w:lang w:val="en-US"/>
        </w:rPr>
        <w:t>,</w:t>
      </w:r>
      <w:r w:rsidR="00214CB9">
        <w:rPr>
          <w:rFonts w:ascii="Times New Roman" w:hAnsi="Times New Roman" w:cs="Times New Roman"/>
          <w:lang w:val="en-US"/>
        </w:rPr>
        <w:t xml:space="preserve"> we converted primary crop production reported in fresh weight by t</w:t>
      </w:r>
      <w:r w:rsidR="001E32FF">
        <w:rPr>
          <w:rFonts w:ascii="Times New Roman" w:hAnsi="Times New Roman" w:cs="Times New Roman"/>
          <w:lang w:val="en-US"/>
        </w:rPr>
        <w:t xml:space="preserve">he national </w:t>
      </w:r>
      <w:r w:rsidR="007C284E" w:rsidRPr="003F4F12">
        <w:rPr>
          <w:rFonts w:ascii="Times New Roman" w:hAnsi="Times New Roman" w:cs="Times New Roman"/>
          <w:lang w:val="en-US"/>
        </w:rPr>
        <w:t>statistics</w:t>
      </w:r>
      <w:r w:rsidR="00214CB9">
        <w:rPr>
          <w:rFonts w:ascii="Times New Roman" w:hAnsi="Times New Roman" w:cs="Times New Roman"/>
          <w:lang w:val="en-US"/>
        </w:rPr>
        <w:t xml:space="preserve"> into </w:t>
      </w:r>
      <w:r w:rsidR="008E615F">
        <w:rPr>
          <w:rFonts w:ascii="Times New Roman" w:hAnsi="Times New Roman" w:cs="Times New Roman"/>
          <w:lang w:val="en-US"/>
        </w:rPr>
        <w:t>c</w:t>
      </w:r>
      <w:r w:rsidR="0009699C">
        <w:rPr>
          <w:rFonts w:ascii="Times New Roman" w:hAnsi="Times New Roman" w:cs="Times New Roman"/>
          <w:lang w:val="en-US"/>
        </w:rPr>
        <w:t>arbon</w:t>
      </w:r>
      <w:r w:rsidR="00214CB9">
        <w:rPr>
          <w:rFonts w:ascii="Times New Roman" w:hAnsi="Times New Roman" w:cs="Times New Roman"/>
          <w:lang w:val="en-US"/>
        </w:rPr>
        <w:t xml:space="preserve"> units</w:t>
      </w:r>
      <w:r w:rsidR="007C284E" w:rsidRPr="003F4F12">
        <w:rPr>
          <w:rFonts w:ascii="Times New Roman" w:hAnsi="Times New Roman" w:cs="Times New Roman"/>
          <w:lang w:val="en-US"/>
        </w:rPr>
        <w:t xml:space="preserve"> by using crop-group specific water content ratios</w:t>
      </w:r>
      <w:r w:rsidR="00214CB9">
        <w:rPr>
          <w:rFonts w:ascii="Times New Roman" w:hAnsi="Times New Roman" w:cs="Times New Roman"/>
          <w:lang w:val="en-US"/>
        </w:rPr>
        <w:t xml:space="preserve"> (</w:t>
      </w:r>
      <w:r w:rsidR="00BA004A" w:rsidRPr="00033F62">
        <w:rPr>
          <w:rFonts w:ascii="Times New Roman" w:hAnsi="Times New Roman" w:cs="Times New Roman"/>
          <w:lang w:val="en-US"/>
        </w:rPr>
        <w:t xml:space="preserve">Table </w:t>
      </w:r>
      <w:r w:rsidR="00033F62">
        <w:rPr>
          <w:rFonts w:ascii="Times New Roman" w:hAnsi="Times New Roman" w:cs="Times New Roman"/>
          <w:lang w:val="en-US"/>
        </w:rPr>
        <w:t>S</w:t>
      </w:r>
      <w:r w:rsidR="00BA004A" w:rsidRPr="00033F62">
        <w:rPr>
          <w:rFonts w:ascii="Times New Roman" w:hAnsi="Times New Roman" w:cs="Times New Roman"/>
          <w:lang w:val="en-US"/>
        </w:rPr>
        <w:t>1</w:t>
      </w:r>
      <w:r w:rsidR="00214CB9">
        <w:rPr>
          <w:rFonts w:ascii="Times New Roman" w:hAnsi="Times New Roman" w:cs="Times New Roman"/>
          <w:lang w:val="en-US"/>
        </w:rPr>
        <w:t>)</w:t>
      </w:r>
      <w:r w:rsidR="0009699C">
        <w:rPr>
          <w:rFonts w:ascii="Times New Roman" w:hAnsi="Times New Roman" w:cs="Times New Roman"/>
          <w:lang w:val="en-US"/>
        </w:rPr>
        <w:t xml:space="preserve"> and considering a </w:t>
      </w:r>
      <w:r w:rsidR="008E615F">
        <w:rPr>
          <w:rFonts w:ascii="Times New Roman" w:hAnsi="Times New Roman" w:cs="Times New Roman"/>
          <w:lang w:val="en-US"/>
        </w:rPr>
        <w:t>c</w:t>
      </w:r>
      <w:r w:rsidR="0009699C">
        <w:rPr>
          <w:rFonts w:ascii="Times New Roman" w:hAnsi="Times New Roman" w:cs="Times New Roman"/>
          <w:lang w:val="en-US"/>
        </w:rPr>
        <w:t>arbon content of 50% of oven-dry biomass</w:t>
      </w:r>
      <w:r w:rsidR="00214CB9">
        <w:rPr>
          <w:rFonts w:ascii="Times New Roman" w:hAnsi="Times New Roman" w:cs="Times New Roman"/>
          <w:lang w:val="en-US"/>
        </w:rPr>
        <w:t>. Then we extrapolated</w:t>
      </w:r>
      <w:r w:rsidR="0009699C">
        <w:rPr>
          <w:rFonts w:ascii="Times New Roman" w:hAnsi="Times New Roman" w:cs="Times New Roman"/>
          <w:lang w:val="en-US"/>
        </w:rPr>
        <w:t xml:space="preserve"> total plant biomass from </w:t>
      </w:r>
      <w:r w:rsidR="00214CB9">
        <w:rPr>
          <w:rFonts w:ascii="Times New Roman" w:hAnsi="Times New Roman" w:cs="Times New Roman"/>
          <w:lang w:val="en-US"/>
        </w:rPr>
        <w:t>primary crop production using h</w:t>
      </w:r>
      <w:r w:rsidR="007C284E" w:rsidRPr="003F4F12">
        <w:rPr>
          <w:rFonts w:ascii="Times New Roman" w:hAnsi="Times New Roman" w:cs="Times New Roman"/>
          <w:lang w:val="en-US"/>
        </w:rPr>
        <w:t>arvest factors</w:t>
      </w:r>
      <w:r w:rsidR="0009699C">
        <w:rPr>
          <w:rFonts w:ascii="Times New Roman" w:hAnsi="Times New Roman" w:cs="Times New Roman"/>
          <w:lang w:val="en-US"/>
        </w:rPr>
        <w:t xml:space="preserve"> listed in </w:t>
      </w:r>
      <w:r w:rsidR="00BA004A" w:rsidRPr="00033F62">
        <w:rPr>
          <w:rFonts w:ascii="Times New Roman" w:hAnsi="Times New Roman" w:cs="Times New Roman"/>
          <w:lang w:val="en-US"/>
        </w:rPr>
        <w:t xml:space="preserve">Table </w:t>
      </w:r>
      <w:r w:rsidR="00033F62">
        <w:rPr>
          <w:rFonts w:ascii="Times New Roman" w:hAnsi="Times New Roman" w:cs="Times New Roman"/>
          <w:lang w:val="en-US"/>
        </w:rPr>
        <w:t>S</w:t>
      </w:r>
      <w:r w:rsidR="00BA004A" w:rsidRPr="00033F62">
        <w:rPr>
          <w:rFonts w:ascii="Times New Roman" w:hAnsi="Times New Roman" w:cs="Times New Roman"/>
          <w:lang w:val="en-US"/>
        </w:rPr>
        <w:t>1</w:t>
      </w:r>
      <w:r w:rsidR="001E32FF">
        <w:rPr>
          <w:rFonts w:ascii="Times New Roman" w:hAnsi="Times New Roman" w:cs="Times New Roman"/>
          <w:lang w:val="en-US"/>
        </w:rPr>
        <w:t xml:space="preserve">. All </w:t>
      </w:r>
      <w:r w:rsidR="001D66C4" w:rsidRPr="003F4F12">
        <w:rPr>
          <w:rFonts w:ascii="Times New Roman" w:hAnsi="Times New Roman" w:cs="Times New Roman"/>
          <w:lang w:val="en-US"/>
        </w:rPr>
        <w:t>factors are based on previous work by Krausmann et al</w:t>
      </w:r>
      <w:r w:rsidR="00C91F92" w:rsidRPr="003F4F12">
        <w:rPr>
          <w:rFonts w:ascii="Times New Roman" w:hAnsi="Times New Roman" w:cs="Times New Roman"/>
          <w:lang w:val="en-US"/>
        </w:rPr>
        <w:t xml:space="preserve">. </w:t>
      </w:r>
      <w:r w:rsidR="002D07DA" w:rsidRPr="00214CB9">
        <w:rPr>
          <w:rFonts w:ascii="Times New Roman" w:hAnsi="Times New Roman" w:cs="Times New Roman"/>
          <w:lang w:val="en-GB"/>
        </w:rPr>
        <w:t>(2008; 2013)</w:t>
      </w:r>
      <w:r w:rsidR="001D66C4" w:rsidRPr="003F4F12">
        <w:rPr>
          <w:rFonts w:ascii="Times New Roman" w:hAnsi="Times New Roman" w:cs="Times New Roman"/>
          <w:lang w:val="en-US"/>
        </w:rPr>
        <w:t xml:space="preserve">, </w:t>
      </w:r>
      <w:r w:rsidR="00146CBC" w:rsidRPr="003F4F12">
        <w:rPr>
          <w:rFonts w:ascii="Times New Roman" w:hAnsi="Times New Roman" w:cs="Times New Roman"/>
          <w:lang w:val="en-US"/>
        </w:rPr>
        <w:t xml:space="preserve">who calculated harvest factors based on Wirsenius </w:t>
      </w:r>
      <w:r w:rsidR="00146CBC" w:rsidRPr="00214CB9">
        <w:rPr>
          <w:rFonts w:ascii="Times New Roman" w:hAnsi="Times New Roman" w:cs="Times New Roman"/>
          <w:lang w:val="en-GB"/>
        </w:rPr>
        <w:t xml:space="preserve">(2000, 2003) </w:t>
      </w:r>
      <w:r w:rsidR="007E32A9" w:rsidRPr="00214CB9">
        <w:rPr>
          <w:rFonts w:ascii="Times New Roman" w:hAnsi="Times New Roman" w:cs="Times New Roman"/>
          <w:lang w:val="en-GB"/>
        </w:rPr>
        <w:t>and Evans (1996)</w:t>
      </w:r>
      <w:r w:rsidR="001E32FF" w:rsidRPr="00214CB9">
        <w:rPr>
          <w:rFonts w:ascii="Times New Roman" w:hAnsi="Times New Roman" w:cs="Times New Roman"/>
          <w:lang w:val="en-GB"/>
        </w:rPr>
        <w:t>. Krausmann et al</w:t>
      </w:r>
      <w:r w:rsidR="00214CB9">
        <w:rPr>
          <w:rFonts w:ascii="Times New Roman" w:hAnsi="Times New Roman" w:cs="Times New Roman"/>
          <w:lang w:val="en-GB"/>
        </w:rPr>
        <w:t>.</w:t>
      </w:r>
      <w:r w:rsidR="00214CB9" w:rsidRPr="003F4F12">
        <w:rPr>
          <w:rFonts w:ascii="Times New Roman" w:hAnsi="Times New Roman" w:cs="Times New Roman"/>
          <w:lang w:val="en-US"/>
        </w:rPr>
        <w:t xml:space="preserve"> </w:t>
      </w:r>
      <w:r w:rsidR="00214CB9" w:rsidRPr="00214CB9">
        <w:rPr>
          <w:rFonts w:ascii="Times New Roman" w:hAnsi="Times New Roman" w:cs="Times New Roman"/>
          <w:lang w:val="en-GB"/>
        </w:rPr>
        <w:t>(2008; 2013)</w:t>
      </w:r>
      <w:r w:rsidR="001E32FF" w:rsidRPr="00214CB9">
        <w:rPr>
          <w:rFonts w:ascii="Times New Roman" w:hAnsi="Times New Roman" w:cs="Times New Roman"/>
          <w:lang w:val="en-GB"/>
        </w:rPr>
        <w:t xml:space="preserve"> </w:t>
      </w:r>
      <w:r w:rsidR="001D66C4" w:rsidRPr="00214CB9">
        <w:rPr>
          <w:rFonts w:ascii="Times New Roman" w:hAnsi="Times New Roman" w:cs="Times New Roman"/>
          <w:lang w:val="en-GB"/>
        </w:rPr>
        <w:t xml:space="preserve">considered decreasing trends of harvest factors </w:t>
      </w:r>
      <w:r w:rsidR="00214CB9">
        <w:rPr>
          <w:rFonts w:ascii="Times New Roman" w:hAnsi="Times New Roman" w:cs="Times New Roman"/>
          <w:lang w:val="en-GB"/>
        </w:rPr>
        <w:t xml:space="preserve">from 1900 to 2007 </w:t>
      </w:r>
      <w:r w:rsidR="001D66C4" w:rsidRPr="00214CB9">
        <w:rPr>
          <w:rFonts w:ascii="Times New Roman" w:hAnsi="Times New Roman" w:cs="Times New Roman"/>
          <w:lang w:val="en-GB"/>
        </w:rPr>
        <w:t xml:space="preserve">owing to </w:t>
      </w:r>
      <w:r w:rsidR="00AA0190">
        <w:rPr>
          <w:rFonts w:ascii="Times New Roman" w:hAnsi="Times New Roman" w:cs="Times New Roman"/>
          <w:lang w:val="en-GB"/>
        </w:rPr>
        <w:t>technological advancements and plant breeding</w:t>
      </w:r>
      <w:r w:rsidR="00420C29" w:rsidRPr="00214CB9">
        <w:rPr>
          <w:rFonts w:ascii="Times New Roman" w:hAnsi="Times New Roman" w:cs="Times New Roman"/>
          <w:lang w:val="en-GB"/>
        </w:rPr>
        <w:t>.</w:t>
      </w:r>
      <w:r w:rsidR="001D66C4" w:rsidRPr="00214CB9">
        <w:rPr>
          <w:rFonts w:ascii="Times New Roman" w:hAnsi="Times New Roman" w:cs="Times New Roman"/>
          <w:lang w:val="en-GB"/>
        </w:rPr>
        <w:t xml:space="preserve"> </w:t>
      </w:r>
      <w:r w:rsidR="0009699C">
        <w:rPr>
          <w:rFonts w:ascii="Times New Roman" w:hAnsi="Times New Roman" w:cs="Times New Roman"/>
          <w:lang w:val="en-GB"/>
        </w:rPr>
        <w:t xml:space="preserve">The amount of crop residues was then calculated by subtracting primary production from total plant biomass. </w:t>
      </w:r>
      <w:r w:rsidR="00214CB9">
        <w:rPr>
          <w:rFonts w:ascii="Times New Roman" w:hAnsi="Times New Roman" w:cs="Times New Roman"/>
          <w:lang w:val="en-US"/>
        </w:rPr>
        <w:t xml:space="preserve">The share of </w:t>
      </w:r>
      <w:r w:rsidR="00214CB9" w:rsidRPr="003F4F12">
        <w:rPr>
          <w:rFonts w:ascii="Times New Roman" w:hAnsi="Times New Roman" w:cs="Times New Roman"/>
          <w:lang w:val="en-US"/>
        </w:rPr>
        <w:t>used</w:t>
      </w:r>
      <w:r w:rsidR="00214CB9">
        <w:rPr>
          <w:rFonts w:ascii="Times New Roman" w:hAnsi="Times New Roman" w:cs="Times New Roman"/>
          <w:lang w:val="en-US"/>
        </w:rPr>
        <w:t xml:space="preserve"> to un-unused residues was calculated through crop specific recovery rates. </w:t>
      </w:r>
      <w:r w:rsidR="00C91F92" w:rsidRPr="003F4F12">
        <w:rPr>
          <w:rFonts w:ascii="Times New Roman" w:hAnsi="Times New Roman" w:cs="Times New Roman"/>
          <w:lang w:val="en-US"/>
        </w:rPr>
        <w:t xml:space="preserve">Until 1960 </w:t>
      </w:r>
      <w:r w:rsidR="00214CB9">
        <w:rPr>
          <w:rFonts w:ascii="Times New Roman" w:hAnsi="Times New Roman" w:cs="Times New Roman"/>
          <w:lang w:val="en-US"/>
        </w:rPr>
        <w:t xml:space="preserve">we assumed that a certain share of residues was used for all crop groups, thereafter we only assumed used residues for cereal crops. </w:t>
      </w:r>
    </w:p>
    <w:p w14:paraId="077576A1" w14:textId="4063A054" w:rsidR="00400152" w:rsidRPr="003F4F12" w:rsidRDefault="001D66C4" w:rsidP="00EE2BFA">
      <w:pPr>
        <w:jc w:val="both"/>
        <w:rPr>
          <w:rFonts w:ascii="Times New Roman" w:hAnsi="Times New Roman" w:cs="Times New Roman"/>
          <w:lang w:val="en-US"/>
        </w:rPr>
      </w:pPr>
      <w:r w:rsidRPr="003F4F12">
        <w:rPr>
          <w:rFonts w:ascii="Times New Roman" w:hAnsi="Times New Roman" w:cs="Times New Roman"/>
          <w:lang w:val="en-US"/>
        </w:rPr>
        <w:t xml:space="preserve">For several crop-groups information </w:t>
      </w:r>
      <w:r w:rsidR="00466A27" w:rsidRPr="003F4F12">
        <w:rPr>
          <w:rFonts w:ascii="Times New Roman" w:hAnsi="Times New Roman" w:cs="Times New Roman"/>
          <w:lang w:val="en-US"/>
        </w:rPr>
        <w:t>on harvest</w:t>
      </w:r>
      <w:r w:rsidR="00214CB9">
        <w:rPr>
          <w:rFonts w:ascii="Times New Roman" w:hAnsi="Times New Roman" w:cs="Times New Roman"/>
          <w:lang w:val="en-US"/>
        </w:rPr>
        <w:t xml:space="preserve"> factors was lacking. </w:t>
      </w:r>
      <w:r w:rsidR="00466A27" w:rsidRPr="003F4F12">
        <w:rPr>
          <w:rFonts w:ascii="Times New Roman" w:hAnsi="Times New Roman" w:cs="Times New Roman"/>
          <w:lang w:val="en-US"/>
        </w:rPr>
        <w:t xml:space="preserve"> For these crops we assumed that total plant biomass per unit of area equals the mean value of plant biomass per area of all other crops for which </w:t>
      </w:r>
      <w:r w:rsidR="00214CB9">
        <w:rPr>
          <w:rFonts w:ascii="Times New Roman" w:hAnsi="Times New Roman" w:cs="Times New Roman"/>
          <w:lang w:val="en-US"/>
        </w:rPr>
        <w:t>harvest factors were</w:t>
      </w:r>
      <w:r w:rsidR="00466A27" w:rsidRPr="003F4F12">
        <w:rPr>
          <w:rFonts w:ascii="Times New Roman" w:hAnsi="Times New Roman" w:cs="Times New Roman"/>
          <w:lang w:val="en-US"/>
        </w:rPr>
        <w:t xml:space="preserve"> available.</w:t>
      </w:r>
      <w:r w:rsidR="00066759">
        <w:rPr>
          <w:rFonts w:ascii="Times New Roman" w:hAnsi="Times New Roman" w:cs="Times New Roman"/>
          <w:lang w:val="en-US"/>
        </w:rPr>
        <w:t xml:space="preserve"> </w:t>
      </w:r>
      <w:r w:rsidR="00466A27" w:rsidRPr="003F4F12">
        <w:rPr>
          <w:rFonts w:ascii="Times New Roman" w:hAnsi="Times New Roman" w:cs="Times New Roman"/>
          <w:lang w:val="en-US"/>
        </w:rPr>
        <w:t>Crop</w:t>
      </w:r>
      <w:r w:rsidR="004B28C0">
        <w:rPr>
          <w:rFonts w:ascii="Times New Roman" w:hAnsi="Times New Roman" w:cs="Times New Roman"/>
          <w:lang w:val="en-US"/>
        </w:rPr>
        <w:t xml:space="preserve"> </w:t>
      </w:r>
      <w:r w:rsidR="00466A27" w:rsidRPr="003F4F12">
        <w:rPr>
          <w:rFonts w:ascii="Times New Roman" w:hAnsi="Times New Roman" w:cs="Times New Roman"/>
          <w:lang w:val="en-US"/>
        </w:rPr>
        <w:t xml:space="preserve">residues were then calculated by subtracting primary crop harvest from total plant biomass. </w:t>
      </w:r>
      <w:r w:rsidR="00466A27" w:rsidRPr="003F4F12">
        <w:rPr>
          <w:rFonts w:ascii="Times New Roman" w:hAnsi="Times New Roman" w:cs="Times New Roman"/>
          <w:lang w:val="en-GB"/>
        </w:rPr>
        <w:t>Harvest on areas planted to “other crops” was calculated by applying the mean harvest per area of all other crop types for which data w</w:t>
      </w:r>
      <w:r w:rsidR="004B28C0">
        <w:rPr>
          <w:rFonts w:ascii="Times New Roman" w:hAnsi="Times New Roman" w:cs="Times New Roman"/>
          <w:lang w:val="en-GB"/>
        </w:rPr>
        <w:t>ere</w:t>
      </w:r>
      <w:r w:rsidR="00466A27" w:rsidRPr="003F4F12">
        <w:rPr>
          <w:rFonts w:ascii="Times New Roman" w:hAnsi="Times New Roman" w:cs="Times New Roman"/>
          <w:lang w:val="en-GB"/>
        </w:rPr>
        <w:t xml:space="preserve"> available.</w:t>
      </w:r>
    </w:p>
    <w:p w14:paraId="4054B795" w14:textId="01997AEC" w:rsidR="001D66C4" w:rsidRPr="003F4F12" w:rsidRDefault="001D66C4" w:rsidP="00EE2BF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bookmarkStart w:id="13" w:name="_Ref375227473"/>
      <w:r w:rsidRPr="003F4F12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Table </w:t>
      </w:r>
      <w:r w:rsidR="00187530">
        <w:rPr>
          <w:rFonts w:ascii="Times New Roman" w:hAnsi="Times New Roman" w:cs="Times New Roman"/>
          <w:b/>
          <w:bCs/>
          <w:sz w:val="18"/>
          <w:szCs w:val="18"/>
          <w:lang w:val="en-GB"/>
        </w:rPr>
        <w:t>S</w:t>
      </w:r>
      <w:r w:rsidR="00BA004A">
        <w:rPr>
          <w:rFonts w:ascii="Times New Roman" w:hAnsi="Times New Roman" w:cs="Times New Roman"/>
          <w:b/>
          <w:bCs/>
          <w:noProof/>
          <w:sz w:val="18"/>
          <w:szCs w:val="18"/>
          <w:lang w:val="en-GB"/>
        </w:rPr>
        <w:t>1</w:t>
      </w:r>
      <w:bookmarkEnd w:id="13"/>
      <w:r w:rsidRPr="003F4F12">
        <w:rPr>
          <w:rFonts w:ascii="Times New Roman" w:hAnsi="Times New Roman" w:cs="Times New Roman"/>
          <w:b/>
          <w:bCs/>
          <w:sz w:val="18"/>
          <w:szCs w:val="18"/>
          <w:lang w:val="en-GB"/>
        </w:rPr>
        <w:t>: Water content factors, harvest factors (1900, 1930, 1960, 1980, 200</w:t>
      </w:r>
      <w:r w:rsidR="00033F62">
        <w:rPr>
          <w:rFonts w:ascii="Times New Roman" w:hAnsi="Times New Roman" w:cs="Times New Roman"/>
          <w:b/>
          <w:bCs/>
          <w:sz w:val="18"/>
          <w:szCs w:val="18"/>
          <w:lang w:val="en-GB"/>
        </w:rPr>
        <w:t>0</w:t>
      </w:r>
      <w:r w:rsidRPr="003F4F12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) and recovery rates (1960, 2000) of the main crop groups planted in </w:t>
      </w:r>
      <w:r w:rsidR="00903FA4">
        <w:rPr>
          <w:rFonts w:ascii="Times New Roman" w:hAnsi="Times New Roman" w:cs="Times New Roman"/>
          <w:b/>
          <w:bCs/>
          <w:sz w:val="18"/>
          <w:szCs w:val="18"/>
          <w:lang w:val="en-GB"/>
        </w:rPr>
        <w:t>Germany</w:t>
      </w:r>
      <w:r w:rsidRPr="003F4F12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from 1883 to 2007 </w:t>
      </w:r>
    </w:p>
    <w:tbl>
      <w:tblPr>
        <w:tblStyle w:val="HelleListe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992"/>
        <w:gridCol w:w="992"/>
        <w:gridCol w:w="955"/>
        <w:gridCol w:w="888"/>
        <w:gridCol w:w="884"/>
      </w:tblGrid>
      <w:tr w:rsidR="001D66C4" w:rsidRPr="003F4F12" w14:paraId="1D1E24B2" w14:textId="77777777" w:rsidTr="00C91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D13B8B5" w14:textId="77777777" w:rsidR="001D66C4" w:rsidRPr="003F4F12" w:rsidRDefault="001D66C4" w:rsidP="00EE2B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A1A89B" w14:textId="77777777" w:rsidR="001D66C4" w:rsidRPr="003F4F12" w:rsidRDefault="001D66C4" w:rsidP="00EE2B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color w:val="auto"/>
                <w:sz w:val="18"/>
                <w:lang w:val="en-US"/>
              </w:rPr>
              <w:t>Water content</w:t>
            </w:r>
          </w:p>
        </w:tc>
        <w:tc>
          <w:tcPr>
            <w:tcW w:w="4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CCE2CA1" w14:textId="77777777" w:rsidR="001D66C4" w:rsidRPr="003F4F12" w:rsidRDefault="001D66C4" w:rsidP="00EE2B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color w:val="auto"/>
                <w:sz w:val="18"/>
                <w:lang w:val="en-US"/>
              </w:rPr>
              <w:t>Harvest factors</w:t>
            </w:r>
          </w:p>
          <w:p w14:paraId="0C931307" w14:textId="77777777" w:rsidR="001D66C4" w:rsidRPr="003F4F12" w:rsidRDefault="001D66C4" w:rsidP="00EE2B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color w:val="auto"/>
                <w:sz w:val="18"/>
                <w:lang w:val="en-US"/>
              </w:rPr>
              <w:t>(share of residue to primary crop)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14DB4CF" w14:textId="77777777" w:rsidR="001D66C4" w:rsidRPr="003F4F12" w:rsidRDefault="001D66C4" w:rsidP="00EE2B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color w:val="auto"/>
                <w:sz w:val="18"/>
                <w:lang w:val="en-US"/>
              </w:rPr>
              <w:t>Recovery rates</w:t>
            </w:r>
          </w:p>
        </w:tc>
      </w:tr>
      <w:tr w:rsidR="001D66C4" w:rsidRPr="003F4F12" w14:paraId="50A1A27E" w14:textId="77777777" w:rsidTr="00C9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727CAF" w14:textId="77777777" w:rsidR="001D66C4" w:rsidRPr="003F4F12" w:rsidRDefault="001D66C4" w:rsidP="00EE2BFA">
            <w:pPr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61782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60B4D4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5D5AD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>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E30B36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320DC0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>1980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46779D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>2000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6774FD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>1960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BFFD52A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>2000</w:t>
            </w:r>
          </w:p>
        </w:tc>
      </w:tr>
      <w:tr w:rsidR="001D66C4" w:rsidRPr="003F4F12" w14:paraId="16651B9D" w14:textId="77777777" w:rsidTr="00C91F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E3ADE3" w14:textId="77777777" w:rsidR="001D66C4" w:rsidRPr="003F4F12" w:rsidRDefault="001D66C4" w:rsidP="00EE2BFA">
            <w:pPr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Cereals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2CFCF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AF2B9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1.31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7E515C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4326D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F711E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1.10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373467D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1.00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8642B43" w14:textId="58F74C75" w:rsidR="001D66C4" w:rsidRPr="003F4F12" w:rsidRDefault="001D66C4" w:rsidP="002E26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0.</w:t>
            </w:r>
            <w:r w:rsidR="002E2688">
              <w:rPr>
                <w:rFonts w:ascii="Times New Roman" w:eastAsia="Times New Roman" w:hAnsi="Times New Roman" w:cs="Times New Roman"/>
                <w:sz w:val="18"/>
                <w:lang w:val="en-US"/>
              </w:rPr>
              <w:t>89</w:t>
            </w: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5DC7AF0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0.70 </w:t>
            </w:r>
          </w:p>
        </w:tc>
      </w:tr>
      <w:tr w:rsidR="001D66C4" w:rsidRPr="003F4F12" w14:paraId="37438E1F" w14:textId="77777777" w:rsidTr="00C9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E10205" w14:textId="77777777" w:rsidR="001D66C4" w:rsidRPr="003F4F12" w:rsidRDefault="001D66C4" w:rsidP="00BC64B6">
            <w:pPr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Roots and tubers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4532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65EAA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1.31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2A6EE3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CA6BF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5D4A4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1.10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17B56BF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1.00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3BB9595" w14:textId="2B3568D1" w:rsidR="001D66C4" w:rsidRPr="003F4F12" w:rsidRDefault="001D66C4" w:rsidP="002E26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0.</w:t>
            </w:r>
            <w:r w:rsidR="002E2688">
              <w:rPr>
                <w:rFonts w:ascii="Times New Roman" w:eastAsia="Times New Roman" w:hAnsi="Times New Roman" w:cs="Times New Roman"/>
                <w:sz w:val="18"/>
                <w:lang w:val="en-US"/>
              </w:rPr>
              <w:t>32</w:t>
            </w: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6657CF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1D66C4" w:rsidRPr="003F4F12" w14:paraId="5DB4D10F" w14:textId="77777777" w:rsidTr="00C91F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B000B9" w14:textId="77777777" w:rsidR="001D66C4" w:rsidRPr="003F4F12" w:rsidRDefault="001D66C4" w:rsidP="00EE2BFA">
            <w:pPr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Sugar crops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87B4B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ECE08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0.71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72BDF5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0.71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E2A8E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0.68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37F85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0.59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3A00DC5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0.54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E3D3375" w14:textId="606BEE98" w:rsidR="001D66C4" w:rsidRPr="003F4F12" w:rsidRDefault="002E2688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CEBD0C4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1D66C4" w:rsidRPr="003F4F12" w14:paraId="7AC0FC54" w14:textId="77777777" w:rsidTr="00C9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C50ED4" w14:textId="77777777" w:rsidR="001D66C4" w:rsidRPr="003F4F12" w:rsidRDefault="001D66C4" w:rsidP="00EE2BFA">
            <w:pPr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Pulses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6C7D0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C4684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1.31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E9E229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61F2E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6F64F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1.10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D94234A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1.00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71AD1FB" w14:textId="369F6905" w:rsidR="001D66C4" w:rsidRPr="003F4F12" w:rsidRDefault="002E2688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AF66D04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1D66C4" w:rsidRPr="003F4F12" w14:paraId="27A74167" w14:textId="77777777" w:rsidTr="00C91F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9D2677" w14:textId="77777777" w:rsidR="001D66C4" w:rsidRPr="003F4F12" w:rsidRDefault="001D66C4" w:rsidP="00EE2BFA">
            <w:pPr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Fodder crops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7820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235BE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34BD3A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C0FA4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101E9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1.33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9B320E2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1.33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0164C2" w14:textId="5B16EBC2" w:rsidR="001D66C4" w:rsidRPr="003F4F12" w:rsidRDefault="002E2688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883141D" w14:textId="77777777" w:rsidR="001D66C4" w:rsidRPr="003F4F12" w:rsidRDefault="001D66C4" w:rsidP="00EE2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1D66C4" w:rsidRPr="003F4F12" w14:paraId="552B6AA7" w14:textId="77777777" w:rsidTr="00C9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4CDFB" w14:textId="77777777" w:rsidR="001D66C4" w:rsidRPr="003F4F12" w:rsidRDefault="001D66C4" w:rsidP="00EE2BFA">
            <w:pPr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Permanent crops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D8D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4C0C1E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2.75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9C932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2.75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284506" w14:textId="77777777" w:rsidR="001D66C4" w:rsidRPr="003F4F12" w:rsidRDefault="001D66C4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2.75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ECEA6C" w14:textId="16254AF5" w:rsidR="001D66C4" w:rsidRPr="003F4F12" w:rsidRDefault="001D66C4" w:rsidP="002E26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2.</w:t>
            </w:r>
            <w:r w:rsidR="002E2688">
              <w:rPr>
                <w:rFonts w:ascii="Times New Roman" w:hAnsi="Times New Roman" w:cs="Times New Roman"/>
                <w:sz w:val="18"/>
                <w:lang w:val="en-US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9F2CD" w14:textId="4C403BBB" w:rsidR="001D66C4" w:rsidRPr="003F4F12" w:rsidRDefault="001D66C4" w:rsidP="002E26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2.</w:t>
            </w:r>
            <w:r w:rsidR="002E2688">
              <w:rPr>
                <w:rFonts w:ascii="Times New Roman" w:hAnsi="Times New Roman" w:cs="Times New Roman"/>
                <w:sz w:val="18"/>
                <w:lang w:val="en-US"/>
              </w:rPr>
              <w:t>50</w:t>
            </w:r>
            <w:r w:rsidRPr="003F4F12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14537A" w14:textId="7A5197A5" w:rsidR="001D66C4" w:rsidRPr="003F4F12" w:rsidRDefault="002E2688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3F4F12">
              <w:rPr>
                <w:rFonts w:ascii="Times New Roman" w:eastAsia="Times New Roman" w:hAnsi="Times New Roman" w:cs="Times New Roman"/>
                <w:sz w:val="18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9C946" w14:textId="77777777" w:rsidR="005A0E47" w:rsidRPr="003F4F12" w:rsidRDefault="005A0E47" w:rsidP="00EE2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</w:tbl>
    <w:p w14:paraId="1D495B0F" w14:textId="75980A1D" w:rsidR="001D66C4" w:rsidRPr="0032378A" w:rsidRDefault="0064233E" w:rsidP="00EE2BFA">
      <w:pPr>
        <w:pStyle w:val="berschrift3"/>
        <w:numPr>
          <w:ilvl w:val="1"/>
          <w:numId w:val="25"/>
        </w:numPr>
        <w:jc w:val="both"/>
        <w:rPr>
          <w:rFonts w:ascii="Times New Roman" w:hAnsi="Times New Roman" w:cs="Times New Roman"/>
          <w:color w:val="auto"/>
          <w:lang w:val="en-GB"/>
        </w:rPr>
      </w:pPr>
      <w:bookmarkStart w:id="14" w:name="_Ref368470698"/>
      <w:bookmarkStart w:id="15" w:name="_Toc377628823"/>
      <w:r w:rsidRPr="0032378A">
        <w:rPr>
          <w:rFonts w:ascii="Times New Roman" w:hAnsi="Times New Roman" w:cs="Times New Roman"/>
          <w:color w:val="auto"/>
          <w:lang w:val="en-GB"/>
        </w:rPr>
        <w:t>Harvest on gra</w:t>
      </w:r>
      <w:r w:rsidR="00420C29" w:rsidRPr="0032378A">
        <w:rPr>
          <w:rFonts w:ascii="Times New Roman" w:hAnsi="Times New Roman" w:cs="Times New Roman"/>
          <w:color w:val="auto"/>
          <w:lang w:val="en-GB"/>
        </w:rPr>
        <w:t>ss</w:t>
      </w:r>
      <w:r w:rsidRPr="0032378A">
        <w:rPr>
          <w:rFonts w:ascii="Times New Roman" w:hAnsi="Times New Roman" w:cs="Times New Roman"/>
          <w:color w:val="auto"/>
          <w:lang w:val="en-GB"/>
        </w:rPr>
        <w:t>land</w:t>
      </w:r>
      <w:bookmarkEnd w:id="14"/>
      <w:bookmarkEnd w:id="15"/>
    </w:p>
    <w:p w14:paraId="369ECCC0" w14:textId="2D10504A" w:rsidR="000C5CC6" w:rsidRPr="003F4F12" w:rsidRDefault="00420C29" w:rsidP="00EE2BFA">
      <w:pPr>
        <w:jc w:val="both"/>
        <w:rPr>
          <w:rFonts w:ascii="Times New Roman" w:hAnsi="Times New Roman" w:cs="Times New Roman"/>
          <w:lang w:val="en-US"/>
        </w:rPr>
      </w:pPr>
      <w:r w:rsidRPr="003F4F12">
        <w:rPr>
          <w:rFonts w:ascii="Times New Roman" w:hAnsi="Times New Roman" w:cs="Times New Roman"/>
          <w:lang w:val="en-US"/>
        </w:rPr>
        <w:t>Harvest on grassland</w:t>
      </w:r>
      <w:r w:rsidR="0064233E" w:rsidRPr="003F4F12">
        <w:rPr>
          <w:rFonts w:ascii="Times New Roman" w:hAnsi="Times New Roman" w:cs="Times New Roman"/>
          <w:lang w:val="en-US"/>
        </w:rPr>
        <w:t xml:space="preserve"> includes harvest on permanent meadows and pastures, </w:t>
      </w:r>
      <w:r w:rsidR="00466A27" w:rsidRPr="003F4F12">
        <w:rPr>
          <w:rFonts w:ascii="Times New Roman" w:hAnsi="Times New Roman" w:cs="Times New Roman"/>
          <w:lang w:val="en-US"/>
        </w:rPr>
        <w:t xml:space="preserve">through mowing and foraging </w:t>
      </w:r>
      <w:r w:rsidR="0009699C">
        <w:rPr>
          <w:rFonts w:ascii="Times New Roman" w:hAnsi="Times New Roman" w:cs="Times New Roman"/>
          <w:lang w:val="en-US"/>
        </w:rPr>
        <w:t xml:space="preserve">and </w:t>
      </w:r>
      <w:r w:rsidR="00466A27" w:rsidRPr="003F4F12">
        <w:rPr>
          <w:rFonts w:ascii="Times New Roman" w:hAnsi="Times New Roman" w:cs="Times New Roman"/>
          <w:lang w:val="en-US"/>
        </w:rPr>
        <w:t xml:space="preserve">through </w:t>
      </w:r>
      <w:r w:rsidR="0064233E" w:rsidRPr="003F4F12">
        <w:rPr>
          <w:rFonts w:ascii="Times New Roman" w:hAnsi="Times New Roman" w:cs="Times New Roman"/>
          <w:lang w:val="en-US"/>
        </w:rPr>
        <w:t xml:space="preserve">livestock grazing. </w:t>
      </w:r>
      <w:r w:rsidR="0009699C">
        <w:rPr>
          <w:rFonts w:ascii="Times New Roman" w:hAnsi="Times New Roman" w:cs="Times New Roman"/>
          <w:lang w:val="en-US"/>
        </w:rPr>
        <w:t xml:space="preserve">While hay harvest was reported </w:t>
      </w:r>
      <w:r w:rsidR="004B28C0">
        <w:rPr>
          <w:rFonts w:ascii="Times New Roman" w:hAnsi="Times New Roman" w:cs="Times New Roman"/>
          <w:lang w:val="en-US"/>
        </w:rPr>
        <w:t xml:space="preserve">in </w:t>
      </w:r>
      <w:r w:rsidR="0009699C">
        <w:rPr>
          <w:rFonts w:ascii="Times New Roman" w:hAnsi="Times New Roman" w:cs="Times New Roman"/>
          <w:lang w:val="en-US"/>
        </w:rPr>
        <w:t>the national statistic</w:t>
      </w:r>
      <w:r w:rsidR="004B28C0">
        <w:rPr>
          <w:rFonts w:ascii="Times New Roman" w:hAnsi="Times New Roman" w:cs="Times New Roman"/>
          <w:lang w:val="en-US"/>
        </w:rPr>
        <w:t>s</w:t>
      </w:r>
      <w:r w:rsidR="0009699C">
        <w:rPr>
          <w:rFonts w:ascii="Times New Roman" w:hAnsi="Times New Roman" w:cs="Times New Roman"/>
          <w:lang w:val="en-US"/>
        </w:rPr>
        <w:t>, grazed biomass was calculated by applying a grazing gap approach</w:t>
      </w:r>
      <w:r w:rsidR="00466A27" w:rsidRPr="003F4F12">
        <w:rPr>
          <w:rFonts w:ascii="Times New Roman" w:hAnsi="Times New Roman" w:cs="Times New Roman"/>
          <w:lang w:val="en-US"/>
        </w:rPr>
        <w:t xml:space="preserve">, </w:t>
      </w:r>
      <w:r w:rsidR="0009699C">
        <w:rPr>
          <w:rFonts w:ascii="Times New Roman" w:hAnsi="Times New Roman" w:cs="Times New Roman"/>
          <w:lang w:val="en-US"/>
        </w:rPr>
        <w:t>where the annual</w:t>
      </w:r>
      <w:r w:rsidR="00C53EBC" w:rsidRPr="003F4F12">
        <w:rPr>
          <w:rFonts w:ascii="Times New Roman" w:hAnsi="Times New Roman" w:cs="Times New Roman"/>
          <w:lang w:val="en-US"/>
        </w:rPr>
        <w:t xml:space="preserve"> amount </w:t>
      </w:r>
      <w:r w:rsidR="005F54A1" w:rsidRPr="003F4F12">
        <w:rPr>
          <w:rFonts w:ascii="Times New Roman" w:hAnsi="Times New Roman" w:cs="Times New Roman"/>
          <w:lang w:val="en-US"/>
        </w:rPr>
        <w:t xml:space="preserve">of </w:t>
      </w:r>
      <w:r w:rsidR="00466A27" w:rsidRPr="003F4F12">
        <w:rPr>
          <w:rFonts w:ascii="Times New Roman" w:hAnsi="Times New Roman" w:cs="Times New Roman"/>
          <w:lang w:val="en-US"/>
        </w:rPr>
        <w:t xml:space="preserve">grazed </w:t>
      </w:r>
      <w:r w:rsidR="00C53EBC" w:rsidRPr="003F4F12">
        <w:rPr>
          <w:rFonts w:ascii="Times New Roman" w:hAnsi="Times New Roman" w:cs="Times New Roman"/>
          <w:lang w:val="en-US"/>
        </w:rPr>
        <w:t xml:space="preserve">biomass is defined as the difference between annual feed demand of all livestock species and </w:t>
      </w:r>
      <w:r w:rsidR="00C53EBC" w:rsidRPr="003F4F12">
        <w:rPr>
          <w:rFonts w:ascii="Times New Roman" w:hAnsi="Times New Roman" w:cs="Times New Roman"/>
          <w:lang w:val="en-US"/>
        </w:rPr>
        <w:lastRenderedPageBreak/>
        <w:t xml:space="preserve">annual feed supply. </w:t>
      </w:r>
      <w:r w:rsidR="0009699C">
        <w:rPr>
          <w:rFonts w:ascii="Times New Roman" w:hAnsi="Times New Roman" w:cs="Times New Roman"/>
          <w:lang w:val="en-US"/>
        </w:rPr>
        <w:t>Different procedures were used in order to calculate f</w:t>
      </w:r>
      <w:r w:rsidR="00C53EBC" w:rsidRPr="003F4F12">
        <w:rPr>
          <w:rFonts w:ascii="Times New Roman" w:hAnsi="Times New Roman" w:cs="Times New Roman"/>
          <w:lang w:val="en-US"/>
        </w:rPr>
        <w:t>eed demand separately for the si</w:t>
      </w:r>
      <w:r w:rsidR="00ED7222" w:rsidRPr="003F4F12">
        <w:rPr>
          <w:rFonts w:ascii="Times New Roman" w:hAnsi="Times New Roman" w:cs="Times New Roman"/>
          <w:lang w:val="en-US"/>
        </w:rPr>
        <w:t>ngle livestock species</w:t>
      </w:r>
      <w:r w:rsidR="000F0879" w:rsidRPr="003F4F12">
        <w:rPr>
          <w:rFonts w:ascii="Times New Roman" w:hAnsi="Times New Roman" w:cs="Times New Roman"/>
          <w:lang w:val="en-US"/>
        </w:rPr>
        <w:t xml:space="preserve"> (</w:t>
      </w:r>
      <w:r w:rsidR="00BA004A" w:rsidRPr="00BA004A">
        <w:rPr>
          <w:rFonts w:ascii="Times New Roman" w:hAnsi="Times New Roman" w:cs="Times New Roman"/>
          <w:lang w:val="en-US"/>
        </w:rPr>
        <w:t xml:space="preserve">Table </w:t>
      </w:r>
      <w:r w:rsidR="00B61340">
        <w:rPr>
          <w:rFonts w:ascii="Times New Roman" w:hAnsi="Times New Roman" w:cs="Times New Roman"/>
          <w:lang w:val="en-US"/>
        </w:rPr>
        <w:t>S</w:t>
      </w:r>
      <w:r w:rsidR="00BA004A" w:rsidRPr="00BA004A">
        <w:rPr>
          <w:rFonts w:ascii="Times New Roman" w:hAnsi="Times New Roman" w:cs="Times New Roman"/>
          <w:noProof/>
          <w:lang w:val="en-US"/>
        </w:rPr>
        <w:t>2</w:t>
      </w:r>
      <w:r w:rsidR="000F0879" w:rsidRPr="003F4F12">
        <w:rPr>
          <w:rFonts w:ascii="Times New Roman" w:hAnsi="Times New Roman" w:cs="Times New Roman"/>
          <w:lang w:val="en-US"/>
        </w:rPr>
        <w:t>)</w:t>
      </w:r>
      <w:r w:rsidR="00C53EBC" w:rsidRPr="003F4F12">
        <w:rPr>
          <w:rFonts w:ascii="Times New Roman" w:hAnsi="Times New Roman" w:cs="Times New Roman"/>
          <w:lang w:val="en-US"/>
        </w:rPr>
        <w:t xml:space="preserve">. </w:t>
      </w:r>
    </w:p>
    <w:p w14:paraId="0521A4D1" w14:textId="67020530" w:rsidR="00C53EBC" w:rsidRPr="003F4F12" w:rsidRDefault="009210A3" w:rsidP="00EE2BFA">
      <w:pPr>
        <w:jc w:val="both"/>
        <w:rPr>
          <w:rFonts w:ascii="Times New Roman" w:hAnsi="Times New Roman" w:cs="Times New Roman"/>
          <w:lang w:val="en-US"/>
        </w:rPr>
      </w:pPr>
      <w:r w:rsidRPr="003F4F12">
        <w:rPr>
          <w:rFonts w:ascii="Times New Roman" w:hAnsi="Times New Roman" w:cs="Times New Roman"/>
          <w:lang w:val="en-US"/>
        </w:rPr>
        <w:t>F</w:t>
      </w:r>
      <w:r w:rsidR="00ED7222" w:rsidRPr="003F4F12">
        <w:rPr>
          <w:rFonts w:ascii="Times New Roman" w:hAnsi="Times New Roman" w:cs="Times New Roman"/>
          <w:lang w:val="en-US"/>
        </w:rPr>
        <w:t>eed demand for cattle</w:t>
      </w:r>
      <w:r w:rsidRPr="003F4F12">
        <w:rPr>
          <w:rFonts w:ascii="Times New Roman" w:hAnsi="Times New Roman" w:cs="Times New Roman"/>
          <w:lang w:val="en-US"/>
        </w:rPr>
        <w:t xml:space="preserve"> was calculated through two ways: (1) cattle carcass weights and (2) milk yield of milk cattle</w:t>
      </w:r>
      <w:r w:rsidR="0009699C">
        <w:rPr>
          <w:rFonts w:ascii="Times New Roman" w:hAnsi="Times New Roman" w:cs="Times New Roman"/>
          <w:lang w:val="en-US"/>
        </w:rPr>
        <w:t xml:space="preserve">. The higher result of the following two equations was used as final cattle feed demand: </w:t>
      </w:r>
      <w:r w:rsidRPr="003F4F12">
        <w:rPr>
          <w:rFonts w:ascii="Times New Roman" w:hAnsi="Times New Roman" w:cs="Times New Roman"/>
          <w:lang w:val="en-US"/>
        </w:rPr>
        <w:t xml:space="preserve"> </w:t>
      </w:r>
    </w:p>
    <w:p w14:paraId="76BC88D7" w14:textId="6D0AC5AA" w:rsidR="00A47F8A" w:rsidRPr="003F4F12" w:rsidRDefault="00ED7222" w:rsidP="00EE2BFA">
      <w:pPr>
        <w:jc w:val="both"/>
        <w:rPr>
          <w:rFonts w:ascii="Times New Roman" w:hAnsi="Times New Roman" w:cs="Times New Roman"/>
          <w:i/>
          <w:lang w:val="en-GB" w:eastAsia="de-DE"/>
        </w:rPr>
      </w:pPr>
      <w:r w:rsidRPr="003F4F12">
        <w:rPr>
          <w:rFonts w:ascii="Times New Roman" w:hAnsi="Times New Roman" w:cs="Times New Roman"/>
          <w:i/>
          <w:lang w:val="en-GB" w:eastAsia="de-DE"/>
        </w:rPr>
        <w:t>Equ</w:t>
      </w:r>
      <w:r w:rsidR="00906A14" w:rsidRPr="003F4F12">
        <w:rPr>
          <w:rFonts w:ascii="Times New Roman" w:hAnsi="Times New Roman" w:cs="Times New Roman"/>
          <w:i/>
          <w:lang w:val="en-GB" w:eastAsia="de-DE"/>
        </w:rPr>
        <w:t>.</w:t>
      </w:r>
      <w:r w:rsidRPr="003F4F12">
        <w:rPr>
          <w:rFonts w:ascii="Times New Roman" w:hAnsi="Times New Roman" w:cs="Times New Roman"/>
          <w:i/>
          <w:lang w:val="en-GB" w:eastAsia="de-DE"/>
        </w:rPr>
        <w:t xml:space="preserve"> 1:</w:t>
      </w:r>
      <w:r w:rsidR="00906A14" w:rsidRPr="003F4F12">
        <w:rPr>
          <w:rFonts w:ascii="Times New Roman" w:hAnsi="Times New Roman" w:cs="Times New Roman"/>
          <w:i/>
          <w:lang w:val="en-GB" w:eastAsia="de-DE"/>
        </w:rPr>
        <w:tab/>
      </w:r>
      <w:r w:rsidRPr="003F4F12">
        <w:rPr>
          <w:rFonts w:ascii="Times New Roman" w:hAnsi="Times New Roman" w:cs="Times New Roman"/>
          <w:i/>
          <w:lang w:val="en-GB" w:eastAsia="de-DE"/>
        </w:rPr>
        <w:t xml:space="preserve"> </w:t>
      </w:r>
      <w:r w:rsidR="00367041" w:rsidRPr="003F4F12">
        <w:rPr>
          <w:rFonts w:ascii="Times New Roman" w:hAnsi="Times New Roman" w:cs="Times New Roman"/>
          <w:lang w:val="en-GB" w:eastAsia="de-DE"/>
        </w:rPr>
        <w:t>Feed intake</w:t>
      </w:r>
      <w:r w:rsidR="009210A3" w:rsidRPr="003F4F12">
        <w:rPr>
          <w:rFonts w:ascii="Times New Roman" w:hAnsi="Times New Roman" w:cs="Times New Roman"/>
          <w:vertAlign w:val="subscript"/>
          <w:lang w:val="en-GB" w:eastAsia="de-DE"/>
        </w:rPr>
        <w:t>meat</w:t>
      </w:r>
      <w:r w:rsidR="00367041" w:rsidRPr="003F4F12">
        <w:rPr>
          <w:rFonts w:ascii="Times New Roman" w:hAnsi="Times New Roman" w:cs="Times New Roman"/>
          <w:lang w:val="en-GB" w:eastAsia="de-DE"/>
        </w:rPr>
        <w:t xml:space="preserve"> </w:t>
      </w:r>
      <w:r w:rsidR="00A47F8A" w:rsidRPr="003F4F12">
        <w:rPr>
          <w:rFonts w:ascii="Times New Roman" w:hAnsi="Times New Roman" w:cs="Times New Roman"/>
          <w:lang w:val="en-GB" w:eastAsia="de-DE"/>
        </w:rPr>
        <w:t>[kgDM/head/day] = 0.036361 * carcass weight [kg/animal] + 1.702006</w:t>
      </w:r>
    </w:p>
    <w:p w14:paraId="6E4A6AA0" w14:textId="6C82CC03" w:rsidR="00FB15B0" w:rsidRPr="003F4F12" w:rsidRDefault="009210A3" w:rsidP="00EE2BFA">
      <w:pPr>
        <w:jc w:val="both"/>
        <w:rPr>
          <w:rFonts w:ascii="Times New Roman" w:hAnsi="Times New Roman" w:cs="Times New Roman"/>
          <w:lang w:val="en-GB" w:eastAsia="de-DE"/>
        </w:rPr>
      </w:pPr>
      <w:r w:rsidRPr="003F4F12">
        <w:rPr>
          <w:rFonts w:ascii="Times New Roman" w:hAnsi="Times New Roman" w:cs="Times New Roman"/>
          <w:i/>
          <w:lang w:val="en-GB" w:eastAsia="de-DE"/>
        </w:rPr>
        <w:t>Equ</w:t>
      </w:r>
      <w:r w:rsidR="00906A14" w:rsidRPr="003F4F12">
        <w:rPr>
          <w:rFonts w:ascii="Times New Roman" w:hAnsi="Times New Roman" w:cs="Times New Roman"/>
          <w:i/>
          <w:lang w:val="en-GB" w:eastAsia="de-DE"/>
        </w:rPr>
        <w:t>.</w:t>
      </w:r>
      <w:r w:rsidRPr="003F4F12">
        <w:rPr>
          <w:rFonts w:ascii="Times New Roman" w:hAnsi="Times New Roman" w:cs="Times New Roman"/>
          <w:i/>
          <w:lang w:val="en-GB" w:eastAsia="de-DE"/>
        </w:rPr>
        <w:t xml:space="preserve"> 2: </w:t>
      </w:r>
      <w:r w:rsidR="00906A14" w:rsidRPr="003F4F12">
        <w:rPr>
          <w:rFonts w:ascii="Times New Roman" w:hAnsi="Times New Roman" w:cs="Times New Roman"/>
          <w:i/>
          <w:lang w:val="en-GB" w:eastAsia="de-DE"/>
        </w:rPr>
        <w:tab/>
      </w:r>
      <w:r w:rsidR="00906A14" w:rsidRPr="003F4F12">
        <w:rPr>
          <w:rFonts w:ascii="Times New Roman" w:hAnsi="Times New Roman" w:cs="Times New Roman"/>
          <w:lang w:val="en-GB" w:eastAsia="de-DE"/>
        </w:rPr>
        <w:t>Feed intake</w:t>
      </w:r>
      <w:r w:rsidRPr="003F4F12">
        <w:rPr>
          <w:rFonts w:ascii="Times New Roman" w:hAnsi="Times New Roman" w:cs="Times New Roman"/>
          <w:vertAlign w:val="subscript"/>
          <w:lang w:val="en-GB" w:eastAsia="de-DE"/>
        </w:rPr>
        <w:t>milk</w:t>
      </w:r>
      <w:r w:rsidRPr="003F4F12">
        <w:rPr>
          <w:rFonts w:ascii="Times New Roman" w:hAnsi="Times New Roman" w:cs="Times New Roman"/>
          <w:lang w:val="en-GB" w:eastAsia="de-DE"/>
        </w:rPr>
        <w:t xml:space="preserve"> [kgDM/head/day] = 0.00155 * mild yield [kg/animal</w:t>
      </w:r>
      <w:r w:rsidR="0009699C">
        <w:rPr>
          <w:rFonts w:ascii="Times New Roman" w:hAnsi="Times New Roman" w:cs="Times New Roman"/>
          <w:lang w:val="en-GB" w:eastAsia="de-DE"/>
        </w:rPr>
        <w:t>/yr] + 4.8375</w:t>
      </w:r>
    </w:p>
    <w:p w14:paraId="2FD27A22" w14:textId="0989A558" w:rsidR="00ED7222" w:rsidRPr="003F4F12" w:rsidRDefault="001C6B9A" w:rsidP="00EE2BFA">
      <w:pPr>
        <w:jc w:val="both"/>
        <w:rPr>
          <w:rFonts w:ascii="Times New Roman" w:hAnsi="Times New Roman" w:cs="Times New Roman"/>
          <w:lang w:val="en-GB" w:eastAsia="de-DE"/>
        </w:rPr>
      </w:pPr>
      <w:r w:rsidRPr="003F4F12">
        <w:rPr>
          <w:rFonts w:ascii="Times New Roman" w:hAnsi="Times New Roman" w:cs="Times New Roman"/>
          <w:lang w:val="en-GB" w:eastAsia="de-DE"/>
        </w:rPr>
        <w:t xml:space="preserve">Milk yields and carcass weights were taken from the </w:t>
      </w:r>
      <w:r w:rsidR="00420C29" w:rsidRPr="003F4F12">
        <w:rPr>
          <w:rFonts w:ascii="Times New Roman" w:hAnsi="Times New Roman" w:cs="Times New Roman"/>
          <w:lang w:val="en-GB" w:eastAsia="de-DE"/>
        </w:rPr>
        <w:t>FAO statistical database from 1961 to 2007</w:t>
      </w:r>
      <w:r w:rsidR="004A3E19">
        <w:rPr>
          <w:rFonts w:ascii="Times New Roman" w:hAnsi="Times New Roman" w:cs="Times New Roman"/>
          <w:lang w:val="en-GB" w:eastAsia="de-DE"/>
        </w:rPr>
        <w:t xml:space="preserve"> (FAO 2013)</w:t>
      </w:r>
      <w:r w:rsidR="00420C29" w:rsidRPr="003F4F12">
        <w:rPr>
          <w:rFonts w:ascii="Times New Roman" w:hAnsi="Times New Roman" w:cs="Times New Roman"/>
          <w:lang w:val="en-GB" w:eastAsia="de-DE"/>
        </w:rPr>
        <w:t>. Before</w:t>
      </w:r>
      <w:r w:rsidR="00A57BE5" w:rsidRPr="003F4F12">
        <w:rPr>
          <w:rFonts w:ascii="Times New Roman" w:hAnsi="Times New Roman" w:cs="Times New Roman"/>
          <w:lang w:val="en-GB" w:eastAsia="de-DE"/>
        </w:rPr>
        <w:t>, data on milk yields w</w:t>
      </w:r>
      <w:r w:rsidR="004B28C0">
        <w:rPr>
          <w:rFonts w:ascii="Times New Roman" w:hAnsi="Times New Roman" w:cs="Times New Roman"/>
          <w:lang w:val="en-GB" w:eastAsia="de-DE"/>
        </w:rPr>
        <w:t>ere</w:t>
      </w:r>
      <w:r w:rsidR="00A57BE5" w:rsidRPr="003F4F12">
        <w:rPr>
          <w:rFonts w:ascii="Times New Roman" w:hAnsi="Times New Roman" w:cs="Times New Roman"/>
          <w:lang w:val="en-GB" w:eastAsia="de-DE"/>
        </w:rPr>
        <w:t xml:space="preserve"> calculated </w:t>
      </w:r>
      <w:r w:rsidR="004B28C0">
        <w:rPr>
          <w:rFonts w:ascii="Times New Roman" w:hAnsi="Times New Roman" w:cs="Times New Roman"/>
          <w:lang w:val="en-GB" w:eastAsia="de-DE"/>
        </w:rPr>
        <w:t xml:space="preserve">from </w:t>
      </w:r>
      <w:r w:rsidR="00A57BE5" w:rsidRPr="003F4F12">
        <w:rPr>
          <w:rFonts w:ascii="Times New Roman" w:hAnsi="Times New Roman" w:cs="Times New Roman"/>
          <w:lang w:val="en-GB" w:eastAsia="de-DE"/>
        </w:rPr>
        <w:t>data on mil</w:t>
      </w:r>
      <w:r w:rsidR="002E55DD" w:rsidRPr="003F4F12">
        <w:rPr>
          <w:rFonts w:ascii="Times New Roman" w:hAnsi="Times New Roman" w:cs="Times New Roman"/>
          <w:lang w:val="en-GB" w:eastAsia="de-DE"/>
        </w:rPr>
        <w:t>k</w:t>
      </w:r>
      <w:r w:rsidR="00A57BE5" w:rsidRPr="003F4F12">
        <w:rPr>
          <w:rFonts w:ascii="Times New Roman" w:hAnsi="Times New Roman" w:cs="Times New Roman"/>
          <w:lang w:val="en-GB" w:eastAsia="de-DE"/>
        </w:rPr>
        <w:t xml:space="preserve"> production provided by Hoffmann et al. </w:t>
      </w:r>
      <w:r w:rsidR="00A57BE5" w:rsidRPr="003F4F12">
        <w:rPr>
          <w:rFonts w:ascii="Times New Roman" w:hAnsi="Times New Roman" w:cs="Times New Roman"/>
          <w:lang w:val="en-US"/>
        </w:rPr>
        <w:t>(1965)</w:t>
      </w:r>
      <w:r w:rsidR="002E55DD" w:rsidRPr="003F4F12">
        <w:rPr>
          <w:rFonts w:ascii="Times New Roman" w:hAnsi="Times New Roman" w:cs="Times New Roman"/>
          <w:lang w:val="en-GB" w:eastAsia="de-DE"/>
        </w:rPr>
        <w:t xml:space="preserve"> and numbers of milk cows provided by Franzmann </w:t>
      </w:r>
      <w:r w:rsidR="002E55DD" w:rsidRPr="003F4F12">
        <w:rPr>
          <w:rFonts w:ascii="Times New Roman" w:hAnsi="Times New Roman" w:cs="Times New Roman"/>
          <w:lang w:val="en-US"/>
        </w:rPr>
        <w:t>(2013)</w:t>
      </w:r>
      <w:r w:rsidR="00A57BE5" w:rsidRPr="003F4F12">
        <w:rPr>
          <w:rFonts w:ascii="Times New Roman" w:hAnsi="Times New Roman" w:cs="Times New Roman"/>
          <w:lang w:val="en-GB" w:eastAsia="de-DE"/>
        </w:rPr>
        <w:t>. Carcass weights before 1950</w:t>
      </w:r>
      <w:r w:rsidR="00420C29" w:rsidRPr="003F4F12">
        <w:rPr>
          <w:rFonts w:ascii="Times New Roman" w:hAnsi="Times New Roman" w:cs="Times New Roman"/>
          <w:lang w:val="en-GB" w:eastAsia="de-DE"/>
        </w:rPr>
        <w:t xml:space="preserve"> were </w:t>
      </w:r>
      <w:r w:rsidR="00DB6D63" w:rsidRPr="003F4F12">
        <w:rPr>
          <w:rFonts w:ascii="Times New Roman" w:hAnsi="Times New Roman" w:cs="Times New Roman"/>
          <w:lang w:val="en-GB" w:eastAsia="de-DE"/>
        </w:rPr>
        <w:t xml:space="preserve">taken from the national </w:t>
      </w:r>
      <w:r w:rsidR="00A57BE5" w:rsidRPr="003F4F12">
        <w:rPr>
          <w:rFonts w:ascii="Times New Roman" w:hAnsi="Times New Roman" w:cs="Times New Roman"/>
          <w:lang w:val="en-GB" w:eastAsia="de-DE"/>
        </w:rPr>
        <w:t>statistics</w:t>
      </w:r>
      <w:r w:rsidR="00DB6D63" w:rsidRPr="003F4F12">
        <w:rPr>
          <w:rFonts w:ascii="Times New Roman" w:hAnsi="Times New Roman" w:cs="Times New Roman"/>
          <w:lang w:val="en-GB" w:eastAsia="de-DE"/>
        </w:rPr>
        <w:t xml:space="preserve"> for the years 1913, 1926 and 1936 by calculating the weighted average of all slaughtered cattle categories </w:t>
      </w:r>
      <w:r w:rsidR="00A57BE5" w:rsidRPr="003F4F12">
        <w:rPr>
          <w:rFonts w:ascii="Times New Roman" w:hAnsi="Times New Roman" w:cs="Times New Roman"/>
          <w:lang w:val="en-GB" w:eastAsia="de-DE"/>
        </w:rPr>
        <w:t xml:space="preserve">(e.g. bulls, cows, calves) </w:t>
      </w:r>
      <w:r w:rsidR="00DB6D63" w:rsidRPr="003F4F12">
        <w:rPr>
          <w:rFonts w:ascii="Times New Roman" w:hAnsi="Times New Roman" w:cs="Times New Roman"/>
          <w:lang w:val="en-GB" w:eastAsia="de-DE"/>
        </w:rPr>
        <w:t xml:space="preserve">and </w:t>
      </w:r>
      <w:r w:rsidR="00A57BE5" w:rsidRPr="003F4F12">
        <w:rPr>
          <w:rFonts w:ascii="Times New Roman" w:hAnsi="Times New Roman" w:cs="Times New Roman"/>
          <w:lang w:val="en-GB" w:eastAsia="de-DE"/>
        </w:rPr>
        <w:t xml:space="preserve">their </w:t>
      </w:r>
      <w:r w:rsidR="00DB6D63" w:rsidRPr="003F4F12">
        <w:rPr>
          <w:rFonts w:ascii="Times New Roman" w:hAnsi="Times New Roman" w:cs="Times New Roman"/>
          <w:lang w:val="en-GB" w:eastAsia="de-DE"/>
        </w:rPr>
        <w:t xml:space="preserve">carcass weights. </w:t>
      </w:r>
    </w:p>
    <w:p w14:paraId="38A42B3E" w14:textId="0098CC82" w:rsidR="00ED7222" w:rsidRPr="003F4F12" w:rsidRDefault="00C53EBC" w:rsidP="00EE2BFA">
      <w:pPr>
        <w:jc w:val="both"/>
        <w:rPr>
          <w:rFonts w:ascii="Times New Roman" w:hAnsi="Times New Roman" w:cs="Times New Roman"/>
          <w:lang w:val="en-GB" w:eastAsia="de-DE"/>
        </w:rPr>
      </w:pPr>
      <w:r w:rsidRPr="003F4F12">
        <w:rPr>
          <w:rFonts w:ascii="Times New Roman" w:hAnsi="Times New Roman" w:cs="Times New Roman"/>
          <w:lang w:val="en-GB" w:eastAsia="de-DE"/>
        </w:rPr>
        <w:t xml:space="preserve">Feed demand of pigs 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and poultry </w:t>
      </w:r>
      <w:r w:rsidRPr="003F4F12">
        <w:rPr>
          <w:rFonts w:ascii="Times New Roman" w:hAnsi="Times New Roman" w:cs="Times New Roman"/>
          <w:lang w:val="en-GB" w:eastAsia="de-DE"/>
        </w:rPr>
        <w:t>was calculated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 through feed efficiency ratios, </w:t>
      </w:r>
      <w:r w:rsidR="001C6B9A" w:rsidRPr="003F4F12">
        <w:rPr>
          <w:rFonts w:ascii="Times New Roman" w:hAnsi="Times New Roman" w:cs="Times New Roman"/>
          <w:lang w:val="en-GB" w:eastAsia="de-DE"/>
        </w:rPr>
        <w:t xml:space="preserve">in which feed demand is calculated </w:t>
      </w:r>
      <w:r w:rsidR="00DD4538">
        <w:rPr>
          <w:rFonts w:ascii="Times New Roman" w:hAnsi="Times New Roman" w:cs="Times New Roman"/>
          <w:lang w:val="en-GB" w:eastAsia="de-DE"/>
        </w:rPr>
        <w:t>according to input-output efficiency ratios applied for annual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 pig and poultry meat </w:t>
      </w:r>
      <w:r w:rsidR="00DD4538">
        <w:rPr>
          <w:rFonts w:ascii="Times New Roman" w:hAnsi="Times New Roman" w:cs="Times New Roman"/>
          <w:lang w:val="en-GB" w:eastAsia="de-DE"/>
        </w:rPr>
        <w:t xml:space="preserve">production 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and </w:t>
      </w:r>
      <w:r w:rsidR="00DD4538">
        <w:rPr>
          <w:rFonts w:ascii="Times New Roman" w:hAnsi="Times New Roman" w:cs="Times New Roman"/>
          <w:lang w:val="en-GB" w:eastAsia="de-DE"/>
        </w:rPr>
        <w:t>poultry egg production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. Meat and egg production </w:t>
      </w:r>
      <w:r w:rsidR="00420C29" w:rsidRPr="003F4F12">
        <w:rPr>
          <w:rFonts w:ascii="Times New Roman" w:hAnsi="Times New Roman" w:cs="Times New Roman"/>
          <w:lang w:val="en-GB" w:eastAsia="de-DE"/>
        </w:rPr>
        <w:t xml:space="preserve">in tons </w:t>
      </w:r>
      <w:r w:rsidR="00ED7222" w:rsidRPr="003F4F12">
        <w:rPr>
          <w:rFonts w:ascii="Times New Roman" w:hAnsi="Times New Roman" w:cs="Times New Roman"/>
          <w:lang w:val="en-GB" w:eastAsia="de-DE"/>
        </w:rPr>
        <w:t>w</w:t>
      </w:r>
      <w:r w:rsidR="00420C29" w:rsidRPr="003F4F12">
        <w:rPr>
          <w:rFonts w:ascii="Times New Roman" w:hAnsi="Times New Roman" w:cs="Times New Roman"/>
          <w:lang w:val="en-GB" w:eastAsia="de-DE"/>
        </w:rPr>
        <w:t>ere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 </w:t>
      </w:r>
      <w:r w:rsidR="00420C29" w:rsidRPr="003F4F12">
        <w:rPr>
          <w:rFonts w:ascii="Times New Roman" w:hAnsi="Times New Roman" w:cs="Times New Roman"/>
          <w:lang w:val="en-GB" w:eastAsia="de-DE"/>
        </w:rPr>
        <w:t>provided by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 the national statistics</w:t>
      </w:r>
      <w:r w:rsidR="00CD7807">
        <w:rPr>
          <w:rFonts w:ascii="Times New Roman" w:hAnsi="Times New Roman" w:cs="Times New Roman"/>
          <w:lang w:val="en-GB" w:eastAsia="de-DE"/>
        </w:rPr>
        <w:t xml:space="preserve"> and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 feed efficiency ratios were taken from </w:t>
      </w:r>
      <w:r w:rsidR="00DD4538" w:rsidRPr="00DD4538">
        <w:rPr>
          <w:rFonts w:ascii="Times New Roman" w:hAnsi="Times New Roman" w:cs="Times New Roman"/>
          <w:lang w:val="en-GB"/>
        </w:rPr>
        <w:t>(Krausmann et al. 2008; Krausmann et al. 2013)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. We assumed that feed efficiency in 1960 was 40% lower than in 2000 and that the 1883 ratios were 10% lower than in 1960 owing to </w:t>
      </w:r>
      <w:r w:rsidR="003E1598" w:rsidRPr="003F4F12">
        <w:rPr>
          <w:rFonts w:ascii="Times New Roman" w:hAnsi="Times New Roman" w:cs="Times New Roman"/>
          <w:lang w:val="en-GB" w:eastAsia="de-DE"/>
        </w:rPr>
        <w:t xml:space="preserve">improved fodder quality and 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animal breeding (refer to </w:t>
      </w:r>
      <w:r w:rsidR="00DD4538" w:rsidRPr="00DD4538">
        <w:rPr>
          <w:rFonts w:ascii="Times New Roman" w:hAnsi="Times New Roman" w:cs="Times New Roman"/>
          <w:lang w:val="en-GB"/>
        </w:rPr>
        <w:t>Krausmann et al. 2008; Krausmann et al. 2013)</w:t>
      </w:r>
      <w:r w:rsidR="00ED7222" w:rsidRPr="003F4F12">
        <w:rPr>
          <w:rFonts w:ascii="Times New Roman" w:hAnsi="Times New Roman" w:cs="Times New Roman"/>
          <w:lang w:val="en-GB" w:eastAsia="de-DE"/>
        </w:rPr>
        <w:t>.</w:t>
      </w:r>
      <w:r w:rsidR="00B61340">
        <w:rPr>
          <w:rFonts w:ascii="Times New Roman" w:hAnsi="Times New Roman" w:cs="Times New Roman"/>
          <w:lang w:val="en-GB" w:eastAsia="de-DE"/>
        </w:rPr>
        <w:t xml:space="preserve"> Values in brackets are values for former East Germany. </w:t>
      </w:r>
      <w:r w:rsidR="00ED7222" w:rsidRPr="003F4F12">
        <w:rPr>
          <w:rFonts w:ascii="Times New Roman" w:hAnsi="Times New Roman" w:cs="Times New Roman"/>
          <w:lang w:val="en-GB" w:eastAsia="de-DE"/>
        </w:rPr>
        <w:t xml:space="preserve"> </w:t>
      </w:r>
    </w:p>
    <w:p w14:paraId="0D1BA88B" w14:textId="0F3B34B9" w:rsidR="00C53EBC" w:rsidRPr="003F4F12" w:rsidRDefault="00C53EBC" w:rsidP="00EE2BFA">
      <w:pPr>
        <w:jc w:val="both"/>
        <w:rPr>
          <w:rFonts w:ascii="Times New Roman" w:hAnsi="Times New Roman" w:cs="Times New Roman"/>
          <w:lang w:val="en-GB" w:eastAsia="de-DE"/>
        </w:rPr>
      </w:pPr>
      <w:r w:rsidRPr="003F4F12">
        <w:rPr>
          <w:rFonts w:ascii="Times New Roman" w:hAnsi="Times New Roman" w:cs="Times New Roman"/>
          <w:lang w:val="en-GB" w:eastAsia="de-DE"/>
        </w:rPr>
        <w:t xml:space="preserve">Feed demand of sheep, goats, horses, buffaloes, asses and mules was assumed </w:t>
      </w:r>
      <w:r w:rsidR="003E1598" w:rsidRPr="003F4F12">
        <w:rPr>
          <w:rFonts w:ascii="Times New Roman" w:hAnsi="Times New Roman" w:cs="Times New Roman"/>
          <w:lang w:val="en-GB" w:eastAsia="de-DE"/>
        </w:rPr>
        <w:t xml:space="preserve">to stay </w:t>
      </w:r>
      <w:r w:rsidRPr="003F4F12">
        <w:rPr>
          <w:rFonts w:ascii="Times New Roman" w:hAnsi="Times New Roman" w:cs="Times New Roman"/>
          <w:lang w:val="en-GB" w:eastAsia="de-DE"/>
        </w:rPr>
        <w:t xml:space="preserve">constant over time, using feed demand factors provided </w:t>
      </w:r>
      <w:r w:rsidR="00B03F27" w:rsidRPr="003F4F12">
        <w:rPr>
          <w:rFonts w:ascii="Times New Roman" w:hAnsi="Times New Roman" w:cs="Times New Roman"/>
          <w:lang w:val="en-GB" w:eastAsia="de-DE"/>
        </w:rPr>
        <w:t>by</w:t>
      </w:r>
      <w:r w:rsidRPr="003F4F12">
        <w:rPr>
          <w:rFonts w:ascii="Times New Roman" w:hAnsi="Times New Roman" w:cs="Times New Roman"/>
          <w:lang w:val="en-GB" w:eastAsia="de-DE"/>
        </w:rPr>
        <w:t xml:space="preserve"> </w:t>
      </w:r>
      <w:r w:rsidR="00DD4538" w:rsidRPr="00DD4538">
        <w:rPr>
          <w:rFonts w:ascii="Times New Roman" w:hAnsi="Times New Roman" w:cs="Times New Roman"/>
          <w:lang w:val="en-GB"/>
        </w:rPr>
        <w:t>(Krausmann et al. 2008; Krausmann et al. 2013)</w:t>
      </w:r>
      <w:r w:rsidR="000F0879" w:rsidRPr="003F4F12">
        <w:rPr>
          <w:rFonts w:ascii="Times New Roman" w:hAnsi="Times New Roman" w:cs="Times New Roman"/>
          <w:lang w:val="en-GB" w:eastAsia="de-DE"/>
        </w:rPr>
        <w:t xml:space="preserve">. </w:t>
      </w:r>
    </w:p>
    <w:p w14:paraId="791D86C1" w14:textId="4AF7ECE0" w:rsidR="00F02AC4" w:rsidRDefault="00F02AC4" w:rsidP="00EE2BFA">
      <w:pPr>
        <w:pStyle w:val="Beschriftung"/>
        <w:jc w:val="both"/>
      </w:pPr>
      <w:bookmarkStart w:id="16" w:name="_Ref360976848"/>
      <w:r w:rsidRPr="003F4F12">
        <w:t xml:space="preserve">Table </w:t>
      </w:r>
      <w:r w:rsidR="00187530">
        <w:t>S</w:t>
      </w:r>
      <w:r w:rsidR="00BA004A">
        <w:rPr>
          <w:noProof/>
        </w:rPr>
        <w:t>2</w:t>
      </w:r>
      <w:bookmarkEnd w:id="16"/>
      <w:r w:rsidRPr="003F4F12">
        <w:t xml:space="preserve">: Feed demand per animal species and year </w:t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2"/>
        <w:gridCol w:w="1220"/>
        <w:gridCol w:w="1220"/>
        <w:gridCol w:w="1220"/>
        <w:gridCol w:w="960"/>
        <w:gridCol w:w="960"/>
        <w:gridCol w:w="960"/>
      </w:tblGrid>
      <w:tr w:rsidR="00E43D0E" w:rsidRPr="00E43D0E" w14:paraId="390B54B4" w14:textId="77777777" w:rsidTr="00E43D0E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7D5C662" w14:textId="45AEA90E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0"/>
                <w:szCs w:val="20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0"/>
                <w:szCs w:val="20"/>
                <w:lang w:val="en-GB" w:eastAsia="de-DE"/>
              </w:rPr>
              <w:t xml:space="preserve">animal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0"/>
                <w:szCs w:val="20"/>
                <w:lang w:val="en-GB" w:eastAsia="de-DE"/>
              </w:rPr>
              <w:t>nr./ species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F285246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0"/>
                <w:szCs w:val="20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0"/>
                <w:szCs w:val="20"/>
                <w:lang w:val="en-GB" w:eastAsia="de-DE"/>
              </w:rPr>
              <w:t xml:space="preserve">Units 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8E93BDE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de-DE"/>
              </w:rPr>
              <w:t>1883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6AA97FA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de-DE"/>
              </w:rPr>
              <w:t>1900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99533FA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de-DE"/>
              </w:rPr>
              <w:t>1940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BF7D5B5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de-DE"/>
              </w:rPr>
              <w:t>1960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DCE836D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de-DE"/>
              </w:rPr>
              <w:t>1980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2694E469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de-DE"/>
              </w:rPr>
              <w:t>2000</w:t>
            </w:r>
          </w:p>
        </w:tc>
      </w:tr>
      <w:tr w:rsidR="00E43D0E" w:rsidRPr="00E43D0E" w14:paraId="013E19FD" w14:textId="77777777" w:rsidTr="00E43D0E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BD5EF4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Cattle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F056C9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tC/head/yr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3E33F0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1.3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5B63A4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1.4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0A622B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64F26D" w14:textId="033D4C5C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1.7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(</w:t>
            </w:r>
            <w:r w:rsidR="00341A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1.6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B4FB2B" w14:textId="00FE520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</w:t>
            </w:r>
            <w:r w:rsidR="00341A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.0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(</w:t>
            </w:r>
            <w:r w:rsidR="00341A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1.9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4639C" w14:textId="7F19B7AA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2.7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</w:t>
            </w:r>
          </w:p>
        </w:tc>
      </w:tr>
      <w:tr w:rsidR="00E43D0E" w:rsidRPr="00E43D0E" w14:paraId="00F796E8" w14:textId="77777777" w:rsidTr="00E43D0E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A8DF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Horses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420F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tC/head/yr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36F4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1212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17CD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F674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97F5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466759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1.8</w:t>
            </w:r>
          </w:p>
        </w:tc>
      </w:tr>
      <w:tr w:rsidR="00E43D0E" w:rsidRPr="00E43D0E" w14:paraId="168189B2" w14:textId="77777777" w:rsidTr="00E43D0E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4E007" w14:textId="7550A7E9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Asse </w:t>
            </w:r>
            <w:r w:rsidRPr="00E4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and mules 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34AA7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tC/head/yr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83D35F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1.1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089CD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1.1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C35059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E15C3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C5B2DB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B4D4F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1.1</w:t>
            </w:r>
          </w:p>
        </w:tc>
      </w:tr>
      <w:tr w:rsidR="00E43D0E" w:rsidRPr="00E43D0E" w14:paraId="1D41D35D" w14:textId="77777777" w:rsidTr="00E43D0E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3BC6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Sheep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C0B1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tC/head/yr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351F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C98B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A6D3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B183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C5A7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59A6B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</w:tr>
      <w:tr w:rsidR="00E43D0E" w:rsidRPr="00E43D0E" w14:paraId="69596030" w14:textId="77777777" w:rsidTr="00E43D0E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565E1F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Goats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57BBD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tC/head/yr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48EF81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19181C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BEA18A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483440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964AD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80A21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</w:p>
        </w:tc>
      </w:tr>
      <w:tr w:rsidR="00E43D0E" w:rsidRPr="00E43D0E" w14:paraId="04D776AC" w14:textId="77777777" w:rsidTr="00E43D0E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073A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Pigs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043A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tC/head/yr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FBD6" w14:textId="70CE0848" w:rsidR="00E43D0E" w:rsidRPr="00E43D0E" w:rsidRDefault="00F243F6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279E" w14:textId="206A24F7" w:rsidR="00E43D0E" w:rsidRPr="00E43D0E" w:rsidRDefault="00F243F6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C14D" w14:textId="0E48E79A" w:rsidR="00E43D0E" w:rsidRPr="00E43D0E" w:rsidRDefault="00F243F6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65D7" w14:textId="61A71393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0.15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(</w:t>
            </w:r>
            <w:r w:rsidR="00341A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0.14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ABCB" w14:textId="1439A4AC" w:rsidR="00E43D0E" w:rsidRPr="00E43D0E" w:rsidRDefault="00111041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0.2 (0.2)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C578D" w14:textId="71506ABC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</w:t>
            </w:r>
          </w:p>
        </w:tc>
      </w:tr>
      <w:tr w:rsidR="00E43D0E" w:rsidRPr="00E43D0E" w14:paraId="6A6C6F4A" w14:textId="77777777" w:rsidTr="00E43D0E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F04BAC" w14:textId="6CC2BE6E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Poultry [1000]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3DF40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tC/head/yr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E864F4" w14:textId="77777777" w:rsidR="00E43D0E" w:rsidRPr="00E43D0E" w:rsidRDefault="00E43D0E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28.23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75C227" w14:textId="7FC52B4F" w:rsidR="00E43D0E" w:rsidRPr="00E43D0E" w:rsidRDefault="00E43D0E" w:rsidP="0011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28.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A62005" w14:textId="7FF29F13" w:rsidR="00E43D0E" w:rsidRPr="00E43D0E" w:rsidRDefault="00E43D0E" w:rsidP="0011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32.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272F18" w14:textId="33774FCD" w:rsidR="00E43D0E" w:rsidRPr="00E43D0E" w:rsidRDefault="00111041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25.1</w:t>
            </w:r>
            <w:r w:rsidR="00341A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665F1" w14:textId="0D873607" w:rsidR="00E43D0E" w:rsidRPr="00E43D0E" w:rsidRDefault="00111041" w:rsidP="00E4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47.9</w:t>
            </w:r>
            <w:r w:rsidR="00341A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18733" w14:textId="6D7F0229" w:rsidR="00E43D0E" w:rsidRPr="00E43D0E" w:rsidRDefault="00E43D0E" w:rsidP="0011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E43D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37.</w:t>
            </w:r>
            <w:r w:rsidR="00111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</w:tr>
    </w:tbl>
    <w:p w14:paraId="5D662076" w14:textId="77777777" w:rsidR="00F02AC4" w:rsidRPr="003F4F12" w:rsidRDefault="00F02AC4" w:rsidP="00EE2BFA">
      <w:pPr>
        <w:jc w:val="both"/>
        <w:rPr>
          <w:rFonts w:ascii="Times New Roman" w:hAnsi="Times New Roman" w:cs="Times New Roman"/>
          <w:lang w:val="en-US"/>
        </w:rPr>
      </w:pPr>
    </w:p>
    <w:p w14:paraId="65E81733" w14:textId="1FC6AC58" w:rsidR="008F15BE" w:rsidRPr="003F4F12" w:rsidRDefault="00C53EBC" w:rsidP="00EE2BFA">
      <w:pPr>
        <w:jc w:val="both"/>
        <w:rPr>
          <w:rFonts w:ascii="Times New Roman" w:hAnsi="Times New Roman" w:cs="Times New Roman"/>
          <w:lang w:val="en-GB"/>
        </w:rPr>
      </w:pPr>
      <w:r w:rsidRPr="003F4F12">
        <w:rPr>
          <w:rFonts w:ascii="Times New Roman" w:hAnsi="Times New Roman" w:cs="Times New Roman"/>
          <w:lang w:val="en-US"/>
        </w:rPr>
        <w:t>Feed supply consists of fodder crops</w:t>
      </w:r>
      <w:r w:rsidR="003E1598" w:rsidRPr="003F4F12">
        <w:rPr>
          <w:rFonts w:ascii="Times New Roman" w:hAnsi="Times New Roman" w:cs="Times New Roman"/>
          <w:lang w:val="en-US"/>
        </w:rPr>
        <w:t xml:space="preserve"> harvest</w:t>
      </w:r>
      <w:r w:rsidR="00843679">
        <w:rPr>
          <w:rFonts w:ascii="Times New Roman" w:hAnsi="Times New Roman" w:cs="Times New Roman"/>
          <w:lang w:val="en-US"/>
        </w:rPr>
        <w:t>ed</w:t>
      </w:r>
      <w:r w:rsidR="003E1598" w:rsidRPr="003F4F12">
        <w:rPr>
          <w:rFonts w:ascii="Times New Roman" w:hAnsi="Times New Roman" w:cs="Times New Roman"/>
          <w:lang w:val="en-US"/>
        </w:rPr>
        <w:t xml:space="preserve"> on cropland</w:t>
      </w:r>
      <w:r w:rsidR="00843679">
        <w:rPr>
          <w:rFonts w:ascii="Times New Roman" w:hAnsi="Times New Roman" w:cs="Times New Roman"/>
          <w:lang w:val="en-US"/>
        </w:rPr>
        <w:t>,</w:t>
      </w:r>
      <w:r w:rsidR="00D555FF" w:rsidRPr="003F4F12">
        <w:rPr>
          <w:rFonts w:ascii="Times New Roman" w:hAnsi="Times New Roman" w:cs="Times New Roman"/>
          <w:lang w:val="en-US"/>
        </w:rPr>
        <w:t xml:space="preserve"> </w:t>
      </w:r>
      <w:r w:rsidR="00843679">
        <w:rPr>
          <w:rFonts w:ascii="Times New Roman" w:hAnsi="Times New Roman" w:cs="Times New Roman"/>
          <w:lang w:val="en-US"/>
        </w:rPr>
        <w:t xml:space="preserve">hay harvest from </w:t>
      </w:r>
      <w:r w:rsidR="003E1598" w:rsidRPr="003F4F12">
        <w:rPr>
          <w:rFonts w:ascii="Times New Roman" w:hAnsi="Times New Roman" w:cs="Times New Roman"/>
          <w:lang w:val="en-US"/>
        </w:rPr>
        <w:t>grassland</w:t>
      </w:r>
      <w:r w:rsidR="00843679">
        <w:rPr>
          <w:rFonts w:ascii="Times New Roman" w:hAnsi="Times New Roman" w:cs="Times New Roman"/>
          <w:lang w:val="en-US"/>
        </w:rPr>
        <w:t xml:space="preserve">, </w:t>
      </w:r>
      <w:r w:rsidR="00D555FF" w:rsidRPr="003F4F12">
        <w:rPr>
          <w:rFonts w:ascii="Times New Roman" w:hAnsi="Times New Roman" w:cs="Times New Roman"/>
          <w:lang w:val="en-US"/>
        </w:rPr>
        <w:t xml:space="preserve">crop residues used </w:t>
      </w:r>
      <w:r w:rsidR="00843679">
        <w:rPr>
          <w:rFonts w:ascii="Times New Roman" w:hAnsi="Times New Roman" w:cs="Times New Roman"/>
          <w:lang w:val="en-US"/>
        </w:rPr>
        <w:t>for fodder</w:t>
      </w:r>
      <w:r w:rsidR="00D555FF" w:rsidRPr="003F4F12">
        <w:rPr>
          <w:rFonts w:ascii="Times New Roman" w:hAnsi="Times New Roman" w:cs="Times New Roman"/>
          <w:lang w:val="en-US"/>
        </w:rPr>
        <w:t xml:space="preserve"> and market feed</w:t>
      </w:r>
      <w:r w:rsidR="00843679">
        <w:rPr>
          <w:rFonts w:ascii="Times New Roman" w:hAnsi="Times New Roman" w:cs="Times New Roman"/>
          <w:lang w:val="en-US"/>
        </w:rPr>
        <w:t xml:space="preserve">. Market feed refers to the amount of fodder (primary and processed) purchased from the world market. </w:t>
      </w:r>
      <w:r w:rsidR="00D555FF" w:rsidRPr="003F4F12">
        <w:rPr>
          <w:rFonts w:ascii="Times New Roman" w:hAnsi="Times New Roman" w:cs="Times New Roman"/>
          <w:lang w:val="en-US"/>
        </w:rPr>
        <w:t xml:space="preserve"> </w:t>
      </w:r>
      <w:r w:rsidR="00E667F4" w:rsidRPr="003F4F12">
        <w:rPr>
          <w:rFonts w:ascii="Times New Roman" w:hAnsi="Times New Roman" w:cs="Times New Roman"/>
          <w:lang w:val="en-GB"/>
        </w:rPr>
        <w:t>We considered crop residues used as fodder only for cereals, and we considered a constant share of 15% fed to animals</w:t>
      </w:r>
      <w:r w:rsidR="00843679">
        <w:rPr>
          <w:rFonts w:ascii="Times New Roman" w:hAnsi="Times New Roman" w:cs="Times New Roman"/>
          <w:lang w:val="en-GB"/>
        </w:rPr>
        <w:t xml:space="preserve"> over the entire time period studied.</w:t>
      </w:r>
      <w:r w:rsidR="00E667F4" w:rsidRPr="003F4F12">
        <w:rPr>
          <w:rFonts w:ascii="Times New Roman" w:hAnsi="Times New Roman" w:cs="Times New Roman"/>
          <w:lang w:val="en-GB"/>
        </w:rPr>
        <w:t xml:space="preserve"> </w:t>
      </w:r>
    </w:p>
    <w:p w14:paraId="0253241E" w14:textId="169803B6" w:rsidR="001D3F94" w:rsidRDefault="003E1598" w:rsidP="00EE2BFA">
      <w:pPr>
        <w:jc w:val="both"/>
        <w:rPr>
          <w:rFonts w:ascii="Times New Roman" w:hAnsi="Times New Roman" w:cs="Times New Roman"/>
          <w:lang w:val="en-US"/>
        </w:rPr>
      </w:pPr>
      <w:r w:rsidRPr="003F4F12">
        <w:rPr>
          <w:rFonts w:ascii="Times New Roman" w:hAnsi="Times New Roman" w:cs="Times New Roman"/>
          <w:lang w:val="en-GB"/>
        </w:rPr>
        <w:t xml:space="preserve">No data for market feed consumption before 1961 </w:t>
      </w:r>
      <w:r w:rsidR="00CD7807" w:rsidRPr="003F4F12">
        <w:rPr>
          <w:rFonts w:ascii="Times New Roman" w:hAnsi="Times New Roman" w:cs="Times New Roman"/>
          <w:lang w:val="en-GB"/>
        </w:rPr>
        <w:t>w</w:t>
      </w:r>
      <w:r w:rsidR="00CD7807">
        <w:rPr>
          <w:rFonts w:ascii="Times New Roman" w:hAnsi="Times New Roman" w:cs="Times New Roman"/>
          <w:lang w:val="en-GB"/>
        </w:rPr>
        <w:t>ere</w:t>
      </w:r>
      <w:r w:rsidR="00CD7807" w:rsidRPr="003F4F12">
        <w:rPr>
          <w:rFonts w:ascii="Times New Roman" w:hAnsi="Times New Roman" w:cs="Times New Roman"/>
          <w:lang w:val="en-GB"/>
        </w:rPr>
        <w:t xml:space="preserve"> </w:t>
      </w:r>
      <w:r w:rsidRPr="003F4F12">
        <w:rPr>
          <w:rFonts w:ascii="Times New Roman" w:hAnsi="Times New Roman" w:cs="Times New Roman"/>
          <w:lang w:val="en-GB"/>
        </w:rPr>
        <w:t>available and information</w:t>
      </w:r>
      <w:r w:rsidR="00DF31D3">
        <w:rPr>
          <w:rFonts w:ascii="Times New Roman" w:hAnsi="Times New Roman" w:cs="Times New Roman"/>
          <w:lang w:val="en-GB"/>
        </w:rPr>
        <w:t xml:space="preserve"> </w:t>
      </w:r>
      <w:r w:rsidRPr="003F4F12">
        <w:rPr>
          <w:rFonts w:ascii="Times New Roman" w:hAnsi="Times New Roman" w:cs="Times New Roman"/>
          <w:lang w:val="en-GB"/>
        </w:rPr>
        <w:t xml:space="preserve">on the share of market feed consumed in </w:t>
      </w:r>
      <w:r w:rsidR="00F7321A" w:rsidRPr="003F4F12">
        <w:rPr>
          <w:rFonts w:ascii="Times New Roman" w:hAnsi="Times New Roman" w:cs="Times New Roman"/>
          <w:lang w:val="en-GB"/>
        </w:rPr>
        <w:t>East Germany</w:t>
      </w:r>
      <w:r w:rsidRPr="003F4F12">
        <w:rPr>
          <w:rFonts w:ascii="Times New Roman" w:hAnsi="Times New Roman" w:cs="Times New Roman"/>
          <w:lang w:val="en-GB"/>
        </w:rPr>
        <w:t xml:space="preserve"> was lacking between 1950 and 2007. </w:t>
      </w:r>
      <w:r w:rsidR="008F15BE" w:rsidRPr="003F4F12">
        <w:rPr>
          <w:rFonts w:ascii="Times New Roman" w:hAnsi="Times New Roman" w:cs="Times New Roman"/>
          <w:lang w:val="en-GB"/>
        </w:rPr>
        <w:t>Market feed consumption between 1961 and 2006 was taken from the FAO statistical database</w:t>
      </w:r>
      <w:r w:rsidR="009210A3" w:rsidRPr="003F4F12">
        <w:rPr>
          <w:rFonts w:ascii="Times New Roman" w:hAnsi="Times New Roman" w:cs="Times New Roman"/>
          <w:lang w:val="en-GB"/>
        </w:rPr>
        <w:t xml:space="preserve"> </w:t>
      </w:r>
      <w:r w:rsidR="009210A3" w:rsidRPr="003F4F12">
        <w:rPr>
          <w:rFonts w:ascii="Times New Roman" w:hAnsi="Times New Roman" w:cs="Times New Roman"/>
          <w:lang w:val="en-US"/>
        </w:rPr>
        <w:t>(FAO 2013)</w:t>
      </w:r>
      <w:r w:rsidR="00DF31D3">
        <w:rPr>
          <w:rFonts w:ascii="Times New Roman" w:hAnsi="Times New Roman" w:cs="Times New Roman"/>
          <w:lang w:val="en-GB"/>
        </w:rPr>
        <w:t xml:space="preserve">, which </w:t>
      </w:r>
      <w:r w:rsidR="008F15BE" w:rsidRPr="003F4F12">
        <w:rPr>
          <w:rFonts w:ascii="Times New Roman" w:hAnsi="Times New Roman" w:cs="Times New Roman"/>
          <w:lang w:val="en-GB"/>
        </w:rPr>
        <w:t xml:space="preserve">also contains data </w:t>
      </w:r>
      <w:r w:rsidR="00996CD5">
        <w:rPr>
          <w:rFonts w:ascii="Times New Roman" w:hAnsi="Times New Roman" w:cs="Times New Roman"/>
          <w:lang w:val="en-GB"/>
        </w:rPr>
        <w:t xml:space="preserve">on </w:t>
      </w:r>
      <w:r w:rsidR="00DF31D3">
        <w:rPr>
          <w:rFonts w:ascii="Times New Roman" w:hAnsi="Times New Roman" w:cs="Times New Roman"/>
          <w:lang w:val="en-GB"/>
        </w:rPr>
        <w:t xml:space="preserve">market feed consumption in </w:t>
      </w:r>
      <w:r w:rsidR="008F15BE" w:rsidRPr="003F4F12">
        <w:rPr>
          <w:rFonts w:ascii="Times New Roman" w:hAnsi="Times New Roman" w:cs="Times New Roman"/>
          <w:lang w:val="en-GB"/>
        </w:rPr>
        <w:t>former East Germany</w:t>
      </w:r>
      <w:r w:rsidR="00361EAC" w:rsidRPr="003F4F12">
        <w:rPr>
          <w:rFonts w:ascii="Times New Roman" w:hAnsi="Times New Roman" w:cs="Times New Roman"/>
          <w:lang w:val="en-US"/>
        </w:rPr>
        <w:t xml:space="preserve">. In 1990, after the unification of </w:t>
      </w:r>
      <w:r w:rsidRPr="003F4F12">
        <w:rPr>
          <w:rFonts w:ascii="Times New Roman" w:hAnsi="Times New Roman" w:cs="Times New Roman"/>
          <w:lang w:val="en-US"/>
        </w:rPr>
        <w:t>East and West Germany</w:t>
      </w:r>
      <w:r w:rsidR="00361EAC" w:rsidRPr="003F4F12">
        <w:rPr>
          <w:rFonts w:ascii="Times New Roman" w:hAnsi="Times New Roman" w:cs="Times New Roman"/>
          <w:lang w:val="en-US"/>
        </w:rPr>
        <w:t xml:space="preserve">, </w:t>
      </w:r>
      <w:r w:rsidRPr="003F4F12">
        <w:rPr>
          <w:rFonts w:ascii="Times New Roman" w:hAnsi="Times New Roman" w:cs="Times New Roman"/>
          <w:lang w:val="en-US"/>
        </w:rPr>
        <w:t xml:space="preserve">market feed consumption witnessed a steep decline along with the collapse of the livestock </w:t>
      </w:r>
      <w:r w:rsidR="00DF31D3">
        <w:rPr>
          <w:rFonts w:ascii="Times New Roman" w:hAnsi="Times New Roman" w:cs="Times New Roman"/>
          <w:lang w:val="en-US"/>
        </w:rPr>
        <w:t xml:space="preserve">numbers </w:t>
      </w:r>
      <w:r w:rsidRPr="003F4F12">
        <w:rPr>
          <w:rFonts w:ascii="Times New Roman" w:hAnsi="Times New Roman" w:cs="Times New Roman"/>
          <w:lang w:val="en-US"/>
        </w:rPr>
        <w:t xml:space="preserve">in the former </w:t>
      </w:r>
      <w:r w:rsidR="008F15BE" w:rsidRPr="003F4F12">
        <w:rPr>
          <w:rFonts w:ascii="Times New Roman" w:hAnsi="Times New Roman" w:cs="Times New Roman"/>
          <w:lang w:val="en-US"/>
        </w:rPr>
        <w:t xml:space="preserve">East Germany. </w:t>
      </w:r>
      <w:r w:rsidR="00DF31D3">
        <w:rPr>
          <w:rFonts w:ascii="Times New Roman" w:hAnsi="Times New Roman" w:cs="Times New Roman"/>
          <w:lang w:val="en-US"/>
        </w:rPr>
        <w:t>Assuming</w:t>
      </w:r>
      <w:r w:rsidR="008F15BE" w:rsidRPr="003F4F12">
        <w:rPr>
          <w:rFonts w:ascii="Times New Roman" w:hAnsi="Times New Roman" w:cs="Times New Roman"/>
          <w:lang w:val="en-US"/>
        </w:rPr>
        <w:t xml:space="preserve"> that the decline of market </w:t>
      </w:r>
      <w:r w:rsidR="008F15BE" w:rsidRPr="003F4F12">
        <w:rPr>
          <w:rFonts w:ascii="Times New Roman" w:hAnsi="Times New Roman" w:cs="Times New Roman"/>
          <w:lang w:val="en-US"/>
        </w:rPr>
        <w:lastRenderedPageBreak/>
        <w:t xml:space="preserve">feed after 1989 </w:t>
      </w:r>
      <w:r w:rsidR="009210A3" w:rsidRPr="003F4F12">
        <w:rPr>
          <w:rFonts w:ascii="Times New Roman" w:hAnsi="Times New Roman" w:cs="Times New Roman"/>
          <w:lang w:val="en-US"/>
        </w:rPr>
        <w:t>equals</w:t>
      </w:r>
      <w:r w:rsidR="008F15BE" w:rsidRPr="003F4F12">
        <w:rPr>
          <w:rFonts w:ascii="Times New Roman" w:hAnsi="Times New Roman" w:cs="Times New Roman"/>
          <w:lang w:val="en-US"/>
        </w:rPr>
        <w:t xml:space="preserve"> the share of market feed consumed in East Germany</w:t>
      </w:r>
      <w:r w:rsidR="009210A3" w:rsidRPr="003F4F12">
        <w:rPr>
          <w:rFonts w:ascii="Times New Roman" w:hAnsi="Times New Roman" w:cs="Times New Roman"/>
          <w:lang w:val="en-US"/>
        </w:rPr>
        <w:t xml:space="preserve"> in 1988</w:t>
      </w:r>
      <w:r w:rsidR="008F15BE" w:rsidRPr="003F4F12">
        <w:rPr>
          <w:rFonts w:ascii="Times New Roman" w:hAnsi="Times New Roman" w:cs="Times New Roman"/>
          <w:lang w:val="en-US"/>
        </w:rPr>
        <w:t xml:space="preserve">, we derived a share of </w:t>
      </w:r>
      <w:r w:rsidR="00145249">
        <w:rPr>
          <w:rFonts w:ascii="Times New Roman" w:hAnsi="Times New Roman" w:cs="Times New Roman"/>
          <w:lang w:val="en-US"/>
        </w:rPr>
        <w:t>32</w:t>
      </w:r>
      <w:r w:rsidR="008F15BE" w:rsidRPr="003F4F12">
        <w:rPr>
          <w:rFonts w:ascii="Times New Roman" w:hAnsi="Times New Roman" w:cs="Times New Roman"/>
          <w:lang w:val="en-US"/>
        </w:rPr>
        <w:t>%</w:t>
      </w:r>
      <w:r w:rsidR="009210A3" w:rsidRPr="003F4F12">
        <w:rPr>
          <w:rFonts w:ascii="Times New Roman" w:hAnsi="Times New Roman" w:cs="Times New Roman"/>
          <w:lang w:val="en-US"/>
        </w:rPr>
        <w:t xml:space="preserve"> market feed consumption in </w:t>
      </w:r>
      <w:r w:rsidR="008F15BE" w:rsidRPr="003F4F12">
        <w:rPr>
          <w:rFonts w:ascii="Times New Roman" w:hAnsi="Times New Roman" w:cs="Times New Roman"/>
          <w:lang w:val="en-US"/>
        </w:rPr>
        <w:t xml:space="preserve">East Germany. The index of </w:t>
      </w:r>
      <w:r w:rsidR="009210A3" w:rsidRPr="003F4F12">
        <w:rPr>
          <w:rFonts w:ascii="Times New Roman" w:hAnsi="Times New Roman" w:cs="Times New Roman"/>
          <w:lang w:val="en-US"/>
        </w:rPr>
        <w:t xml:space="preserve">poultry, pigs and cattle </w:t>
      </w:r>
      <w:r w:rsidR="008F15BE" w:rsidRPr="003F4F12">
        <w:rPr>
          <w:rFonts w:ascii="Times New Roman" w:hAnsi="Times New Roman" w:cs="Times New Roman"/>
          <w:lang w:val="en-US"/>
        </w:rPr>
        <w:t xml:space="preserve">feed demand was used to model market feed consumption between 1950 and 1988 and </w:t>
      </w:r>
      <w:r w:rsidR="009210A3" w:rsidRPr="003F4F12">
        <w:rPr>
          <w:rFonts w:ascii="Times New Roman" w:hAnsi="Times New Roman" w:cs="Times New Roman"/>
          <w:lang w:val="en-US"/>
        </w:rPr>
        <w:t xml:space="preserve">between </w:t>
      </w:r>
      <w:r w:rsidR="008F15BE" w:rsidRPr="003F4F12">
        <w:rPr>
          <w:rFonts w:ascii="Times New Roman" w:hAnsi="Times New Roman" w:cs="Times New Roman"/>
          <w:lang w:val="en-US"/>
        </w:rPr>
        <w:t>1989 and 2007. Before 1961</w:t>
      </w:r>
      <w:r w:rsidR="00CD7807">
        <w:rPr>
          <w:rFonts w:ascii="Times New Roman" w:hAnsi="Times New Roman" w:cs="Times New Roman"/>
          <w:lang w:val="en-US"/>
        </w:rPr>
        <w:t>,</w:t>
      </w:r>
      <w:r w:rsidR="008F15BE" w:rsidRPr="003F4F12">
        <w:rPr>
          <w:rFonts w:ascii="Times New Roman" w:hAnsi="Times New Roman" w:cs="Times New Roman"/>
          <w:lang w:val="en-US"/>
        </w:rPr>
        <w:t xml:space="preserve"> </w:t>
      </w:r>
      <w:r w:rsidR="00DF31D3">
        <w:rPr>
          <w:rFonts w:ascii="Times New Roman" w:hAnsi="Times New Roman" w:cs="Times New Roman"/>
          <w:lang w:val="en-US"/>
        </w:rPr>
        <w:t>data on market feed w</w:t>
      </w:r>
      <w:r w:rsidR="00CD7807">
        <w:rPr>
          <w:rFonts w:ascii="Times New Roman" w:hAnsi="Times New Roman" w:cs="Times New Roman"/>
          <w:lang w:val="en-US"/>
        </w:rPr>
        <w:t>ere</w:t>
      </w:r>
      <w:r w:rsidR="00DF31D3">
        <w:rPr>
          <w:rFonts w:ascii="Times New Roman" w:hAnsi="Times New Roman" w:cs="Times New Roman"/>
          <w:lang w:val="en-US"/>
        </w:rPr>
        <w:t xml:space="preserve"> lacking</w:t>
      </w:r>
      <w:r w:rsidR="00CD7807">
        <w:rPr>
          <w:rFonts w:ascii="Times New Roman" w:hAnsi="Times New Roman" w:cs="Times New Roman"/>
          <w:lang w:val="en-US"/>
        </w:rPr>
        <w:t>. We</w:t>
      </w:r>
      <w:r w:rsidR="00DF31D3">
        <w:rPr>
          <w:rFonts w:ascii="Times New Roman" w:hAnsi="Times New Roman" w:cs="Times New Roman"/>
          <w:lang w:val="en-US"/>
        </w:rPr>
        <w:t xml:space="preserve"> thus modelled market feed consumption from 1883 to 1960 by assuming</w:t>
      </w:r>
      <w:r w:rsidR="008F15BE" w:rsidRPr="003F4F12">
        <w:rPr>
          <w:rFonts w:ascii="Times New Roman" w:hAnsi="Times New Roman" w:cs="Times New Roman"/>
          <w:lang w:val="en-US"/>
        </w:rPr>
        <w:t xml:space="preserve"> that growth rates from 19</w:t>
      </w:r>
      <w:r w:rsidR="009210A3" w:rsidRPr="003F4F12">
        <w:rPr>
          <w:rFonts w:ascii="Times New Roman" w:hAnsi="Times New Roman" w:cs="Times New Roman"/>
          <w:lang w:val="en-US"/>
        </w:rPr>
        <w:t>45</w:t>
      </w:r>
      <w:r w:rsidR="008F15BE" w:rsidRPr="003F4F12">
        <w:rPr>
          <w:rFonts w:ascii="Times New Roman" w:hAnsi="Times New Roman" w:cs="Times New Roman"/>
          <w:lang w:val="en-US"/>
        </w:rPr>
        <w:t xml:space="preserve"> to 1961 were similar to the growth</w:t>
      </w:r>
      <w:r w:rsidR="00CD7807">
        <w:rPr>
          <w:rFonts w:ascii="Times New Roman" w:hAnsi="Times New Roman" w:cs="Times New Roman"/>
          <w:lang w:val="en-US"/>
        </w:rPr>
        <w:t xml:space="preserve"> </w:t>
      </w:r>
      <w:r w:rsidR="008F15BE" w:rsidRPr="003F4F12">
        <w:rPr>
          <w:rFonts w:ascii="Times New Roman" w:hAnsi="Times New Roman" w:cs="Times New Roman"/>
          <w:lang w:val="en-US"/>
        </w:rPr>
        <w:t>rates between 1961 and 1970, and that in 1883 market feed was 45% of the 1945 level</w:t>
      </w:r>
      <w:r w:rsidR="009210A3" w:rsidRPr="003F4F12">
        <w:rPr>
          <w:rFonts w:ascii="Times New Roman" w:hAnsi="Times New Roman" w:cs="Times New Roman"/>
          <w:lang w:val="en-US"/>
        </w:rPr>
        <w:t>.</w:t>
      </w:r>
    </w:p>
    <w:p w14:paraId="0F063E07" w14:textId="20792BF2" w:rsidR="001D3F94" w:rsidRPr="003F4F12" w:rsidRDefault="001D3F94" w:rsidP="00EE2BF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Before WWI we assumed that </w:t>
      </w:r>
      <w:r w:rsidR="00717F1B">
        <w:rPr>
          <w:rFonts w:ascii="Times New Roman" w:hAnsi="Times New Roman" w:cs="Times New Roman"/>
          <w:lang w:val="en-US"/>
        </w:rPr>
        <w:t xml:space="preserve">if </w:t>
      </w:r>
      <w:r>
        <w:rPr>
          <w:rFonts w:ascii="Times New Roman" w:hAnsi="Times New Roman" w:cs="Times New Roman"/>
          <w:lang w:val="en-US"/>
        </w:rPr>
        <w:t xml:space="preserve">harvest on grasslands exceeded actual productivity on grasslands, the surplus harvest fraction was dedicated to forest land. This assumption is based on previous work for </w:t>
      </w:r>
      <w:r w:rsidR="00FD21D0">
        <w:rPr>
          <w:rFonts w:ascii="Times New Roman" w:hAnsi="Times New Roman" w:cs="Times New Roman"/>
          <w:lang w:val="en-US"/>
        </w:rPr>
        <w:t xml:space="preserve">historical accounts of </w:t>
      </w:r>
      <w:r>
        <w:rPr>
          <w:rFonts w:ascii="Times New Roman" w:hAnsi="Times New Roman" w:cs="Times New Roman"/>
          <w:lang w:val="en-US"/>
        </w:rPr>
        <w:t xml:space="preserve">biomass flows </w:t>
      </w:r>
      <w:r w:rsidR="00FD21D0">
        <w:rPr>
          <w:rFonts w:ascii="Times New Roman" w:hAnsi="Times New Roman" w:cs="Times New Roman"/>
          <w:lang w:val="en-US"/>
        </w:rPr>
        <w:t xml:space="preserve">in Austria </w:t>
      </w:r>
      <w:r w:rsidRPr="001D3F94">
        <w:rPr>
          <w:rFonts w:ascii="Times New Roman" w:hAnsi="Times New Roman" w:cs="Times New Roman"/>
          <w:lang w:val="en-US"/>
        </w:rPr>
        <w:t>(refer to Krausmann 2001; Erb et al. 2013)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1CF2E33E" w14:textId="77777777" w:rsidR="00CA1D18" w:rsidRPr="003F4F12" w:rsidRDefault="00CA1D18" w:rsidP="00EE2BFA">
      <w:pPr>
        <w:jc w:val="both"/>
        <w:rPr>
          <w:rFonts w:ascii="Times New Roman" w:hAnsi="Times New Roman" w:cs="Times New Roman"/>
          <w:lang w:val="en-US"/>
        </w:rPr>
      </w:pPr>
    </w:p>
    <w:p w14:paraId="2D04742D" w14:textId="77777777" w:rsidR="000F0879" w:rsidRPr="0032378A" w:rsidRDefault="00CA1D18" w:rsidP="00EE2BFA">
      <w:pPr>
        <w:pStyle w:val="berschrift3"/>
        <w:numPr>
          <w:ilvl w:val="1"/>
          <w:numId w:val="25"/>
        </w:numPr>
        <w:jc w:val="both"/>
        <w:rPr>
          <w:rFonts w:ascii="Times New Roman" w:hAnsi="Times New Roman" w:cs="Times New Roman"/>
          <w:color w:val="auto"/>
          <w:lang w:val="en-GB"/>
        </w:rPr>
      </w:pPr>
      <w:bookmarkStart w:id="17" w:name="_Toc377628824"/>
      <w:r w:rsidRPr="0032378A">
        <w:rPr>
          <w:rFonts w:ascii="Times New Roman" w:hAnsi="Times New Roman" w:cs="Times New Roman"/>
          <w:color w:val="auto"/>
          <w:lang w:val="en-GB"/>
        </w:rPr>
        <w:t>Forestry harvest</w:t>
      </w:r>
      <w:bookmarkEnd w:id="17"/>
      <w:r w:rsidRPr="0032378A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5F763A68" w14:textId="095C194F" w:rsidR="002E234F" w:rsidRPr="003F4F12" w:rsidRDefault="000F0879" w:rsidP="00EE2BFA">
      <w:pPr>
        <w:jc w:val="both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3F4F12">
        <w:rPr>
          <w:rFonts w:ascii="Times New Roman" w:hAnsi="Times New Roman" w:cs="Times New Roman"/>
          <w:lang w:val="en-US"/>
        </w:rPr>
        <w:t xml:space="preserve">Forestry harvest consists of all parts of biomass harvested or destroyed in the course of wood harvest, including roundwood and fuelwood removals, as well as all aboveground felling losses. </w:t>
      </w:r>
      <w:r w:rsidR="00CA1D18" w:rsidRPr="003F4F12">
        <w:rPr>
          <w:rFonts w:ascii="Times New Roman" w:hAnsi="Times New Roman" w:cs="Times New Roman"/>
          <w:lang w:val="en-US"/>
        </w:rPr>
        <w:t>From 1960 to 2007 data on harvest of forestry products</w:t>
      </w:r>
      <w:r w:rsidRPr="003F4F12">
        <w:rPr>
          <w:rFonts w:ascii="Times New Roman" w:hAnsi="Times New Roman" w:cs="Times New Roman"/>
          <w:lang w:val="en-US"/>
        </w:rPr>
        <w:t>, e.g.</w:t>
      </w:r>
      <w:r w:rsidR="00FF2FEE">
        <w:rPr>
          <w:rFonts w:ascii="Times New Roman" w:hAnsi="Times New Roman" w:cs="Times New Roman"/>
          <w:lang w:val="en-US"/>
        </w:rPr>
        <w:t>,</w:t>
      </w:r>
      <w:r w:rsidRPr="003F4F12">
        <w:rPr>
          <w:rFonts w:ascii="Times New Roman" w:hAnsi="Times New Roman" w:cs="Times New Roman"/>
          <w:lang w:val="en-US"/>
        </w:rPr>
        <w:t xml:space="preserve"> roundwood and fuelwood harvest,</w:t>
      </w:r>
      <w:r w:rsidR="00CA1D18" w:rsidRPr="003F4F12">
        <w:rPr>
          <w:rFonts w:ascii="Times New Roman" w:hAnsi="Times New Roman" w:cs="Times New Roman"/>
          <w:lang w:val="en-US"/>
        </w:rPr>
        <w:t xml:space="preserve"> w</w:t>
      </w:r>
      <w:r w:rsidR="00FF2FEE">
        <w:rPr>
          <w:rFonts w:ascii="Times New Roman" w:hAnsi="Times New Roman" w:cs="Times New Roman"/>
          <w:lang w:val="en-US"/>
        </w:rPr>
        <w:t>ere</w:t>
      </w:r>
      <w:r w:rsidR="00CA1D18" w:rsidRPr="003F4F12">
        <w:rPr>
          <w:rFonts w:ascii="Times New Roman" w:hAnsi="Times New Roman" w:cs="Times New Roman"/>
          <w:lang w:val="en-US"/>
        </w:rPr>
        <w:t xml:space="preserve"> taken from Franzmann </w:t>
      </w:r>
      <w:r w:rsidR="00CA1D18" w:rsidRPr="00DF31D3">
        <w:rPr>
          <w:rFonts w:ascii="Times New Roman" w:hAnsi="Times New Roman" w:cs="Times New Roman"/>
          <w:lang w:val="en-US"/>
        </w:rPr>
        <w:t xml:space="preserve">(2012b). </w:t>
      </w:r>
      <w:r w:rsidR="00FF2FEE" w:rsidRPr="00FF2FEE">
        <w:rPr>
          <w:rFonts w:ascii="Times New Roman" w:hAnsi="Times New Roman" w:cs="Times New Roman"/>
          <w:lang w:val="en-US"/>
        </w:rPr>
        <w:t>Franzmann (2012a)</w:t>
      </w:r>
      <w:r w:rsidR="00FF2FEE">
        <w:rPr>
          <w:rFonts w:ascii="Times New Roman" w:hAnsi="Times New Roman" w:cs="Times New Roman"/>
          <w:lang w:val="en-US"/>
        </w:rPr>
        <w:t xml:space="preserve"> provided data on f</w:t>
      </w:r>
      <w:r w:rsidR="00CA1D18" w:rsidRPr="00DF31D3">
        <w:rPr>
          <w:rFonts w:ascii="Times New Roman" w:hAnsi="Times New Roman" w:cs="Times New Roman"/>
          <w:lang w:val="en-US"/>
        </w:rPr>
        <w:t xml:space="preserve">orestry harvest in </w:t>
      </w:r>
      <w:r w:rsidRPr="00DF31D3">
        <w:rPr>
          <w:rFonts w:ascii="Times New Roman" w:hAnsi="Times New Roman" w:cs="Times New Roman"/>
          <w:lang w:val="en-US"/>
        </w:rPr>
        <w:t>East Germany</w:t>
      </w:r>
      <w:r w:rsidR="00CA1D18" w:rsidRPr="00DF31D3">
        <w:rPr>
          <w:rFonts w:ascii="Times New Roman" w:hAnsi="Times New Roman" w:cs="Times New Roman"/>
          <w:lang w:val="en-US"/>
        </w:rPr>
        <w:t>.</w:t>
      </w:r>
      <w:r w:rsidR="005A0E47" w:rsidRPr="00DF31D3">
        <w:rPr>
          <w:rFonts w:ascii="Times New Roman" w:hAnsi="Times New Roman" w:cs="Times New Roman"/>
          <w:lang w:val="en-US"/>
        </w:rPr>
        <w:t xml:space="preserve"> </w:t>
      </w:r>
      <w:r w:rsidR="00FF2FEE">
        <w:rPr>
          <w:rFonts w:ascii="Times New Roman" w:hAnsi="Times New Roman" w:cs="Times New Roman"/>
          <w:lang w:val="en-US"/>
        </w:rPr>
        <w:t>N</w:t>
      </w:r>
      <w:r w:rsidR="00CA1D18" w:rsidRPr="003F4F12">
        <w:rPr>
          <w:rFonts w:ascii="Times New Roman" w:hAnsi="Times New Roman" w:cs="Times New Roman"/>
          <w:lang w:val="en-US"/>
        </w:rPr>
        <w:t>o forestry data w</w:t>
      </w:r>
      <w:r w:rsidR="00FF2FEE">
        <w:rPr>
          <w:rFonts w:ascii="Times New Roman" w:hAnsi="Times New Roman" w:cs="Times New Roman"/>
          <w:lang w:val="en-US"/>
        </w:rPr>
        <w:t>ere</w:t>
      </w:r>
      <w:r w:rsidR="00CA1D18" w:rsidRPr="003F4F12">
        <w:rPr>
          <w:rFonts w:ascii="Times New Roman" w:hAnsi="Times New Roman" w:cs="Times New Roman"/>
          <w:lang w:val="en-US"/>
        </w:rPr>
        <w:t xml:space="preserve"> available</w:t>
      </w:r>
      <w:r w:rsidR="00FF2FEE">
        <w:rPr>
          <w:rFonts w:ascii="Times New Roman" w:hAnsi="Times New Roman" w:cs="Times New Roman"/>
          <w:lang w:val="en-US"/>
        </w:rPr>
        <w:t xml:space="preserve"> before 1888. We therefore</w:t>
      </w:r>
      <w:r w:rsidR="00CA1D18" w:rsidRPr="003F4F12">
        <w:rPr>
          <w:rFonts w:ascii="Times New Roman" w:hAnsi="Times New Roman" w:cs="Times New Roman"/>
          <w:lang w:val="en-US"/>
        </w:rPr>
        <w:t xml:space="preserve"> kept the value of 1888 con</w:t>
      </w:r>
      <w:r w:rsidR="00DF31D3">
        <w:rPr>
          <w:rFonts w:ascii="Times New Roman" w:hAnsi="Times New Roman" w:cs="Times New Roman"/>
          <w:lang w:val="en-US"/>
        </w:rPr>
        <w:t xml:space="preserve">stant for </w:t>
      </w:r>
      <w:r w:rsidR="00FF2FEE">
        <w:rPr>
          <w:rFonts w:ascii="Times New Roman" w:hAnsi="Times New Roman" w:cs="Times New Roman"/>
          <w:lang w:val="en-US"/>
        </w:rPr>
        <w:t xml:space="preserve">the preceding </w:t>
      </w:r>
      <w:r w:rsidR="00DF31D3">
        <w:rPr>
          <w:rFonts w:ascii="Times New Roman" w:hAnsi="Times New Roman" w:cs="Times New Roman"/>
          <w:lang w:val="en-US"/>
        </w:rPr>
        <w:t>years.</w:t>
      </w:r>
      <w:r w:rsidR="00FD21D0">
        <w:rPr>
          <w:rFonts w:ascii="Times New Roman" w:hAnsi="Times New Roman" w:cs="Times New Roman"/>
          <w:lang w:val="en-US"/>
        </w:rPr>
        <w:t xml:space="preserve"> </w:t>
      </w:r>
      <w:r w:rsidR="001D3F94">
        <w:rPr>
          <w:rFonts w:ascii="Times New Roman" w:hAnsi="Times New Roman" w:cs="Times New Roman"/>
          <w:lang w:val="en-US"/>
        </w:rPr>
        <w:t>B</w:t>
      </w:r>
      <w:r w:rsidR="002E234F">
        <w:rPr>
          <w:rFonts w:ascii="Times New Roman" w:hAnsi="Times New Roman" w:cs="Times New Roman"/>
          <w:lang w:val="en-US"/>
        </w:rPr>
        <w:t>efore WWI</w:t>
      </w:r>
      <w:r w:rsidR="001D3F94">
        <w:rPr>
          <w:rFonts w:ascii="Times New Roman" w:hAnsi="Times New Roman" w:cs="Times New Roman"/>
          <w:lang w:val="en-US"/>
        </w:rPr>
        <w:t xml:space="preserve"> surplus harvest on grasslands was dedicated to forest land (refer to chapter</w:t>
      </w:r>
      <w:r w:rsidR="00A05676">
        <w:rPr>
          <w:rFonts w:ascii="Times New Roman" w:hAnsi="Times New Roman" w:cs="Times New Roman"/>
          <w:lang w:val="en-US"/>
        </w:rPr>
        <w:t xml:space="preserve"> </w:t>
      </w:r>
      <w:r w:rsidR="007E54F2">
        <w:rPr>
          <w:rFonts w:ascii="Times New Roman" w:hAnsi="Times New Roman" w:cs="Times New Roman"/>
          <w:lang w:val="en-US"/>
        </w:rPr>
        <w:t>S</w:t>
      </w:r>
      <w:r w:rsidR="00BA004A">
        <w:rPr>
          <w:rFonts w:ascii="Times New Roman" w:hAnsi="Times New Roman" w:cs="Times New Roman"/>
          <w:lang w:val="en-US"/>
        </w:rPr>
        <w:t>2.2</w:t>
      </w:r>
      <w:r w:rsidR="001D3F94">
        <w:rPr>
          <w:rFonts w:ascii="Times New Roman" w:hAnsi="Times New Roman" w:cs="Times New Roman"/>
          <w:lang w:val="en-US"/>
        </w:rPr>
        <w:t>)</w:t>
      </w:r>
      <w:r w:rsidR="002E234F">
        <w:rPr>
          <w:rFonts w:ascii="Times New Roman" w:hAnsi="Times New Roman" w:cs="Times New Roman"/>
          <w:lang w:val="en-US"/>
        </w:rPr>
        <w:t xml:space="preserve">. </w:t>
      </w:r>
    </w:p>
    <w:p w14:paraId="5F81383C" w14:textId="77777777" w:rsidR="009210A3" w:rsidRPr="003F4F12" w:rsidRDefault="009210A3" w:rsidP="003F4F12">
      <w:pPr>
        <w:jc w:val="both"/>
        <w:rPr>
          <w:rFonts w:ascii="Times New Roman" w:hAnsi="Times New Roman" w:cs="Times New Roman"/>
          <w:lang w:val="en-US"/>
        </w:rPr>
      </w:pPr>
    </w:p>
    <w:p w14:paraId="31BC6F42" w14:textId="1965B1BB" w:rsidR="006A2F4F" w:rsidRPr="003F4F12" w:rsidRDefault="008B1E70" w:rsidP="00406620">
      <w:pPr>
        <w:pStyle w:val="berschrift2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lang w:val="en-US"/>
        </w:rPr>
      </w:pPr>
      <w:bookmarkStart w:id="18" w:name="_Ref368470800"/>
      <w:bookmarkStart w:id="19" w:name="_Toc377628826"/>
      <w:r w:rsidRPr="003F4F12">
        <w:rPr>
          <w:rFonts w:ascii="Times New Roman" w:hAnsi="Times New Roman" w:cs="Times New Roman"/>
          <w:color w:val="auto"/>
          <w:lang w:val="en-US"/>
        </w:rPr>
        <w:t>Actual productivity (</w:t>
      </w:r>
      <w:r w:rsidR="0034379C" w:rsidRPr="003F4F12">
        <w:rPr>
          <w:rFonts w:ascii="Times New Roman" w:hAnsi="Times New Roman" w:cs="Times New Roman"/>
          <w:color w:val="auto"/>
          <w:lang w:val="en-US"/>
        </w:rPr>
        <w:t>NPP</w:t>
      </w:r>
      <w:r w:rsidR="0034379C" w:rsidRPr="00A4418A">
        <w:rPr>
          <w:rFonts w:ascii="Times New Roman" w:hAnsi="Times New Roman" w:cs="Times New Roman"/>
          <w:color w:val="auto"/>
          <w:vertAlign w:val="subscript"/>
          <w:lang w:val="en-US"/>
        </w:rPr>
        <w:t>act</w:t>
      </w:r>
      <w:r w:rsidRPr="003F4F12">
        <w:rPr>
          <w:rFonts w:ascii="Times New Roman" w:hAnsi="Times New Roman" w:cs="Times New Roman"/>
          <w:color w:val="auto"/>
          <w:lang w:val="en-US"/>
        </w:rPr>
        <w:t>)</w:t>
      </w:r>
      <w:bookmarkEnd w:id="18"/>
      <w:bookmarkEnd w:id="19"/>
    </w:p>
    <w:p w14:paraId="2504F1F2" w14:textId="77777777" w:rsidR="000E390E" w:rsidRPr="003F4F12" w:rsidRDefault="000E390E" w:rsidP="003F4F12">
      <w:pPr>
        <w:jc w:val="both"/>
        <w:rPr>
          <w:rFonts w:ascii="Times New Roman" w:hAnsi="Times New Roman" w:cs="Times New Roman"/>
          <w:lang w:val="en-US"/>
        </w:rPr>
      </w:pPr>
    </w:p>
    <w:p w14:paraId="49C2A8E1" w14:textId="54D7CE0E" w:rsidR="000E390E" w:rsidRPr="0032378A" w:rsidRDefault="000E390E" w:rsidP="00406620">
      <w:pPr>
        <w:pStyle w:val="berschrift3"/>
        <w:numPr>
          <w:ilvl w:val="1"/>
          <w:numId w:val="25"/>
        </w:numPr>
        <w:jc w:val="both"/>
        <w:rPr>
          <w:rFonts w:ascii="Times New Roman" w:hAnsi="Times New Roman" w:cs="Times New Roman"/>
          <w:color w:val="auto"/>
          <w:lang w:val="en-GB"/>
        </w:rPr>
      </w:pPr>
      <w:bookmarkStart w:id="20" w:name="_Toc377628827"/>
      <w:r w:rsidRPr="0032378A">
        <w:rPr>
          <w:rFonts w:ascii="Times New Roman" w:hAnsi="Times New Roman" w:cs="Times New Roman"/>
          <w:color w:val="auto"/>
          <w:lang w:val="en-GB"/>
        </w:rPr>
        <w:t>Cropland</w:t>
      </w:r>
      <w:bookmarkEnd w:id="20"/>
      <w:r w:rsidRPr="0032378A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4BD5A305" w14:textId="2D43A5B2" w:rsidR="0076423B" w:rsidRPr="003F4F12" w:rsidRDefault="00400152" w:rsidP="003F4F12">
      <w:pPr>
        <w:jc w:val="both"/>
        <w:rPr>
          <w:rFonts w:ascii="Times New Roman" w:hAnsi="Times New Roman" w:cs="Times New Roman"/>
          <w:lang w:val="en-US"/>
        </w:rPr>
      </w:pPr>
      <w:r w:rsidRPr="003F4F12">
        <w:rPr>
          <w:rFonts w:ascii="Times New Roman" w:hAnsi="Times New Roman" w:cs="Times New Roman"/>
          <w:lang w:val="en-US"/>
        </w:rPr>
        <w:t>Actual productivity on cropland was extrapolated from harvest on cropland by multiplying harvested N</w:t>
      </w:r>
      <w:r w:rsidR="00A70101">
        <w:rPr>
          <w:rFonts w:ascii="Times New Roman" w:hAnsi="Times New Roman" w:cs="Times New Roman"/>
          <w:lang w:val="en-US"/>
        </w:rPr>
        <w:t xml:space="preserve">PP with loss expansion factors </w:t>
      </w:r>
      <w:r w:rsidR="00BF33D6" w:rsidRPr="003F4F12">
        <w:rPr>
          <w:rFonts w:ascii="Times New Roman" w:hAnsi="Times New Roman" w:cs="Times New Roman"/>
          <w:lang w:val="en-US"/>
        </w:rPr>
        <w:t>(</w:t>
      </w:r>
      <w:r w:rsidR="00BA004A" w:rsidRPr="00BA004A">
        <w:rPr>
          <w:rFonts w:ascii="Times New Roman" w:hAnsi="Times New Roman" w:cs="Times New Roman"/>
          <w:lang w:val="en-GB"/>
        </w:rPr>
        <w:t xml:space="preserve">Table </w:t>
      </w:r>
      <w:r w:rsidR="007E54F2">
        <w:rPr>
          <w:rFonts w:ascii="Times New Roman" w:hAnsi="Times New Roman" w:cs="Times New Roman"/>
          <w:lang w:val="en-GB"/>
        </w:rPr>
        <w:t>S</w:t>
      </w:r>
      <w:r w:rsidR="00BA004A" w:rsidRPr="00BA004A">
        <w:rPr>
          <w:rFonts w:ascii="Times New Roman" w:hAnsi="Times New Roman" w:cs="Times New Roman"/>
          <w:noProof/>
          <w:lang w:val="en-GB"/>
        </w:rPr>
        <w:t>3</w:t>
      </w:r>
      <w:r w:rsidR="00750629" w:rsidRPr="003F4F12">
        <w:rPr>
          <w:rFonts w:ascii="Times New Roman" w:hAnsi="Times New Roman" w:cs="Times New Roman"/>
          <w:lang w:val="en-US"/>
        </w:rPr>
        <w:t xml:space="preserve">, after </w:t>
      </w:r>
      <w:r w:rsidR="00750629" w:rsidRPr="003F4F12">
        <w:rPr>
          <w:rFonts w:ascii="Times New Roman" w:hAnsi="Times New Roman" w:cs="Times New Roman"/>
          <w:lang w:val="en-GB"/>
        </w:rPr>
        <w:t>Krausmann et al. 2013)</w:t>
      </w:r>
      <w:r w:rsidR="006A2F4F" w:rsidRPr="003F4F12">
        <w:rPr>
          <w:rFonts w:ascii="Times New Roman" w:hAnsi="Times New Roman" w:cs="Times New Roman"/>
          <w:lang w:val="en-US"/>
        </w:rPr>
        <w:t xml:space="preserve">. </w:t>
      </w:r>
    </w:p>
    <w:p w14:paraId="5DDBC424" w14:textId="2447396C" w:rsidR="00BF33D6" w:rsidRPr="003F4F12" w:rsidRDefault="00BF33D6" w:rsidP="003F4F12">
      <w:pPr>
        <w:pStyle w:val="Beschriftung"/>
        <w:jc w:val="both"/>
      </w:pPr>
      <w:bookmarkStart w:id="21" w:name="_Ref360978173"/>
      <w:r w:rsidRPr="003F4F12">
        <w:t xml:space="preserve">Table </w:t>
      </w:r>
      <w:r w:rsidR="00187530">
        <w:t>S</w:t>
      </w:r>
      <w:r w:rsidR="00BA004A">
        <w:rPr>
          <w:noProof/>
        </w:rPr>
        <w:t>3</w:t>
      </w:r>
      <w:bookmarkEnd w:id="21"/>
      <w:r w:rsidRPr="003F4F12">
        <w:t>: Loss expansion factors for cropland harvest</w:t>
      </w:r>
    </w:p>
    <w:tbl>
      <w:tblPr>
        <w:tblW w:w="8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56"/>
        <w:gridCol w:w="1196"/>
        <w:gridCol w:w="1196"/>
      </w:tblGrid>
      <w:tr w:rsidR="00677C87" w:rsidRPr="00A70101" w14:paraId="6B2A95A8" w14:textId="77777777" w:rsidTr="00BD1098">
        <w:trPr>
          <w:trHeight w:val="255"/>
        </w:trPr>
        <w:tc>
          <w:tcPr>
            <w:tcW w:w="1196" w:type="dxa"/>
            <w:shd w:val="clear" w:color="auto" w:fill="000000" w:themeFill="text1"/>
            <w:noWrap/>
            <w:vAlign w:val="bottom"/>
            <w:hideMark/>
          </w:tcPr>
          <w:p w14:paraId="5300844D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1883</w:t>
            </w:r>
          </w:p>
        </w:tc>
        <w:tc>
          <w:tcPr>
            <w:tcW w:w="1196" w:type="dxa"/>
            <w:shd w:val="clear" w:color="auto" w:fill="000000" w:themeFill="text1"/>
            <w:noWrap/>
            <w:vAlign w:val="bottom"/>
            <w:hideMark/>
          </w:tcPr>
          <w:p w14:paraId="55E0550A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1900</w:t>
            </w:r>
          </w:p>
        </w:tc>
        <w:tc>
          <w:tcPr>
            <w:tcW w:w="1196" w:type="dxa"/>
            <w:shd w:val="clear" w:color="auto" w:fill="000000" w:themeFill="text1"/>
            <w:noWrap/>
            <w:vAlign w:val="bottom"/>
            <w:hideMark/>
          </w:tcPr>
          <w:p w14:paraId="1A2B3D06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1930</w:t>
            </w:r>
          </w:p>
        </w:tc>
        <w:tc>
          <w:tcPr>
            <w:tcW w:w="1196" w:type="dxa"/>
            <w:shd w:val="clear" w:color="auto" w:fill="000000" w:themeFill="text1"/>
            <w:noWrap/>
            <w:vAlign w:val="bottom"/>
            <w:hideMark/>
          </w:tcPr>
          <w:p w14:paraId="07D0C13C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1960</w:t>
            </w:r>
          </w:p>
        </w:tc>
        <w:tc>
          <w:tcPr>
            <w:tcW w:w="1156" w:type="dxa"/>
            <w:shd w:val="clear" w:color="auto" w:fill="000000" w:themeFill="text1"/>
            <w:noWrap/>
            <w:vAlign w:val="bottom"/>
            <w:hideMark/>
          </w:tcPr>
          <w:p w14:paraId="6E91DB28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1970</w:t>
            </w:r>
          </w:p>
        </w:tc>
        <w:tc>
          <w:tcPr>
            <w:tcW w:w="1196" w:type="dxa"/>
            <w:shd w:val="clear" w:color="auto" w:fill="000000" w:themeFill="text1"/>
            <w:noWrap/>
            <w:vAlign w:val="bottom"/>
            <w:hideMark/>
          </w:tcPr>
          <w:p w14:paraId="6C918EDB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1990</w:t>
            </w:r>
          </w:p>
        </w:tc>
        <w:tc>
          <w:tcPr>
            <w:tcW w:w="1196" w:type="dxa"/>
            <w:shd w:val="clear" w:color="auto" w:fill="000000" w:themeFill="text1"/>
            <w:noWrap/>
            <w:vAlign w:val="bottom"/>
            <w:hideMark/>
          </w:tcPr>
          <w:p w14:paraId="2722552E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2005</w:t>
            </w:r>
          </w:p>
        </w:tc>
      </w:tr>
      <w:tr w:rsidR="00677C87" w:rsidRPr="003F4F12" w14:paraId="3BC01719" w14:textId="77777777" w:rsidTr="00BD1098">
        <w:trPr>
          <w:trHeight w:val="255"/>
        </w:trPr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BBC46F7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1.27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0FB5229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1.25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48BE655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1.23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61012E3" w14:textId="69F1BCB1" w:rsidR="00677C87" w:rsidRPr="003F4F12" w:rsidRDefault="00677C87" w:rsidP="007E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1.1</w:t>
            </w:r>
            <w:r w:rsidR="007E54F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1B1574B" w14:textId="3E5D8E8A" w:rsidR="00677C87" w:rsidRPr="003F4F12" w:rsidRDefault="00677C87" w:rsidP="007E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1.1</w:t>
            </w:r>
            <w:r w:rsidR="007E54F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B6EC75E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1.14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3E322F1" w14:textId="77777777" w:rsidR="00677C87" w:rsidRPr="003F4F12" w:rsidRDefault="00677C87" w:rsidP="003F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F4F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1.14</w:t>
            </w:r>
          </w:p>
        </w:tc>
      </w:tr>
    </w:tbl>
    <w:p w14:paraId="3B9F9C26" w14:textId="07556CE8" w:rsidR="008B1E70" w:rsidRPr="003F4F12" w:rsidRDefault="00285D58" w:rsidP="00406620">
      <w:pPr>
        <w:pStyle w:val="berschrift1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lang w:val="en-US"/>
        </w:rPr>
      </w:pPr>
      <w:bookmarkStart w:id="22" w:name="_Toc377628833"/>
      <w:r w:rsidRPr="003F4F12">
        <w:rPr>
          <w:rFonts w:ascii="Times New Roman" w:hAnsi="Times New Roman" w:cs="Times New Roman"/>
          <w:color w:val="auto"/>
          <w:lang w:val="en-US"/>
        </w:rPr>
        <w:t>Auxiliary</w:t>
      </w:r>
      <w:r w:rsidR="008B1E70" w:rsidRPr="003F4F12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F4F12">
        <w:rPr>
          <w:rFonts w:ascii="Times New Roman" w:hAnsi="Times New Roman" w:cs="Times New Roman"/>
          <w:color w:val="auto"/>
          <w:lang w:val="en-US"/>
        </w:rPr>
        <w:t>figures</w:t>
      </w:r>
      <w:bookmarkEnd w:id="22"/>
    </w:p>
    <w:p w14:paraId="753636E4" w14:textId="77777777" w:rsidR="0020569E" w:rsidRPr="003F4F12" w:rsidRDefault="0020569E" w:rsidP="003F4F12">
      <w:pPr>
        <w:jc w:val="both"/>
        <w:rPr>
          <w:rFonts w:ascii="Times New Roman" w:hAnsi="Times New Roman" w:cs="Times New Roman"/>
          <w:lang w:val="en-US"/>
        </w:rPr>
      </w:pPr>
    </w:p>
    <w:p w14:paraId="1ED2B5B8" w14:textId="77777777" w:rsidR="00077794" w:rsidRPr="003F4F12" w:rsidRDefault="006F1755" w:rsidP="003F4F12">
      <w:pPr>
        <w:jc w:val="both"/>
        <w:rPr>
          <w:rFonts w:ascii="Times New Roman" w:hAnsi="Times New Roman" w:cs="Times New Roman"/>
          <w:lang w:val="en-GB"/>
        </w:rPr>
      </w:pPr>
      <w:r w:rsidRPr="003F4F12">
        <w:rPr>
          <w:rFonts w:ascii="Times New Roman" w:hAnsi="Times New Roman" w:cs="Times New Roman"/>
          <w:noProof/>
        </w:rPr>
        <w:drawing>
          <wp:inline distT="0" distB="0" distL="0" distR="0" wp14:anchorId="73B72281" wp14:editId="29B2258F">
            <wp:extent cx="2532864" cy="176669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556" cy="177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07C6" w14:textId="72A52CBF" w:rsidR="007A3076" w:rsidRPr="003F4F12" w:rsidRDefault="00077794" w:rsidP="003F4F12">
      <w:pPr>
        <w:pStyle w:val="Beschriftung"/>
        <w:jc w:val="both"/>
      </w:pPr>
      <w:r w:rsidRPr="003F4F12">
        <w:t xml:space="preserve">Figure </w:t>
      </w:r>
      <w:r w:rsidR="00945E89">
        <w:t>S</w:t>
      </w:r>
      <w:r w:rsidR="00BA004A">
        <w:rPr>
          <w:noProof/>
        </w:rPr>
        <w:t>1</w:t>
      </w:r>
      <w:r w:rsidRPr="003F4F12">
        <w:t>: Aboveground potential productivity (NPP</w:t>
      </w:r>
      <w:r w:rsidRPr="003F4F12">
        <w:rPr>
          <w:vertAlign w:val="subscript"/>
        </w:rPr>
        <w:t>pot</w:t>
      </w:r>
      <w:r w:rsidRPr="003F4F12">
        <w:t xml:space="preserve">) in East and West Germany from 1950 to 2007 in grams </w:t>
      </w:r>
      <w:r w:rsidR="00FF2FEE">
        <w:t>c</w:t>
      </w:r>
      <w:r w:rsidRPr="003F4F12">
        <w:t xml:space="preserve">arbon per square meter of land. </w:t>
      </w:r>
    </w:p>
    <w:p w14:paraId="4140E5AF" w14:textId="77777777" w:rsidR="00784A78" w:rsidRPr="003F4F12" w:rsidRDefault="00784A78" w:rsidP="003F4F12">
      <w:pPr>
        <w:jc w:val="both"/>
        <w:rPr>
          <w:rFonts w:ascii="Times New Roman" w:hAnsi="Times New Roman" w:cs="Times New Roman"/>
          <w:lang w:val="en-GB"/>
        </w:rPr>
      </w:pPr>
    </w:p>
    <w:p w14:paraId="71B85199" w14:textId="0F7CFF91" w:rsidR="00151252" w:rsidRPr="003F4F12" w:rsidRDefault="00AF2036" w:rsidP="003F4F12">
      <w:pPr>
        <w:jc w:val="both"/>
        <w:rPr>
          <w:rFonts w:ascii="Times New Roman" w:hAnsi="Times New Roman" w:cs="Times New Roman"/>
          <w:lang w:val="en-US"/>
        </w:rPr>
      </w:pPr>
      <w:r w:rsidRPr="003F4F12">
        <w:rPr>
          <w:rFonts w:ascii="Times New Roman" w:hAnsi="Times New Roman" w:cs="Times New Roman"/>
          <w:noProof/>
        </w:rPr>
        <w:drawing>
          <wp:inline distT="0" distB="0" distL="0" distR="0" wp14:anchorId="16B318C4" wp14:editId="34480C1E">
            <wp:extent cx="3914117" cy="2258228"/>
            <wp:effectExtent l="19050" t="19050" r="0" b="889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004" cy="22627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CB6083" w14:textId="5F258DE8" w:rsidR="007E430D" w:rsidRDefault="00151252" w:rsidP="00BA004A">
      <w:pPr>
        <w:pStyle w:val="Beschriftung"/>
        <w:jc w:val="both"/>
      </w:pPr>
      <w:r w:rsidRPr="003F4F12">
        <w:t xml:space="preserve">Figure </w:t>
      </w:r>
      <w:r w:rsidR="00945E89">
        <w:t>S</w:t>
      </w:r>
      <w:r w:rsidR="00BA004A">
        <w:rPr>
          <w:noProof/>
        </w:rPr>
        <w:t>2</w:t>
      </w:r>
      <w:r w:rsidRPr="003F4F12">
        <w:t xml:space="preserve">: </w:t>
      </w:r>
      <w:r w:rsidR="006E3E60" w:rsidRPr="003F4F12">
        <w:t>Share of energy carriers to total consumption of primary energy in EJ on the</w:t>
      </w:r>
      <w:r w:rsidRPr="003F4F12">
        <w:t xml:space="preserve"> German</w:t>
      </w:r>
      <w:r w:rsidR="006E3E60" w:rsidRPr="003F4F12">
        <w:t xml:space="preserve"> territory (changing boarders)</w:t>
      </w:r>
      <w:r w:rsidRPr="003F4F12">
        <w:t xml:space="preserve"> from 1883 to 197</w:t>
      </w:r>
      <w:r w:rsidR="00D30FE0" w:rsidRPr="003F4F12">
        <w:t>3</w:t>
      </w:r>
      <w:r w:rsidRPr="003F4F12">
        <w:t xml:space="preserve">. </w:t>
      </w:r>
      <w:r w:rsidR="00992ADC" w:rsidRPr="003F4F12">
        <w:t xml:space="preserve">Fuelwood consumption was taken from Hoffmann et al. </w:t>
      </w:r>
      <w:r w:rsidR="006E3E60" w:rsidRPr="003F4F12">
        <w:t>(</w:t>
      </w:r>
      <w:r w:rsidR="00992ADC" w:rsidRPr="003F4F12">
        <w:t>1965</w:t>
      </w:r>
      <w:r w:rsidR="006E3E60" w:rsidRPr="003F4F12">
        <w:t>)</w:t>
      </w:r>
      <w:r w:rsidR="00992ADC" w:rsidRPr="003F4F12">
        <w:t>, all other energy carriers are taken from Schilling (1977).</w:t>
      </w:r>
    </w:p>
    <w:p w14:paraId="3FC89638" w14:textId="77777777" w:rsidR="00BA004A" w:rsidRPr="00BA004A" w:rsidRDefault="00BA004A" w:rsidP="00BA004A">
      <w:pPr>
        <w:rPr>
          <w:lang w:val="en-GB"/>
        </w:rPr>
      </w:pPr>
    </w:p>
    <w:p w14:paraId="72422C39" w14:textId="77777777" w:rsidR="007E430D" w:rsidRDefault="007E430D" w:rsidP="007E430D">
      <w:pPr>
        <w:rPr>
          <w:lang w:val="en-GB"/>
        </w:rPr>
      </w:pPr>
    </w:p>
    <w:p w14:paraId="6FA76E1C" w14:textId="77777777" w:rsidR="007E430D" w:rsidRDefault="007E430D" w:rsidP="007E430D">
      <w:pPr>
        <w:rPr>
          <w:lang w:val="en-GB"/>
        </w:rPr>
      </w:pPr>
    </w:p>
    <w:p w14:paraId="05380C0E" w14:textId="77777777" w:rsidR="007E430D" w:rsidRDefault="007E430D" w:rsidP="007E430D">
      <w:pPr>
        <w:rPr>
          <w:lang w:val="en-GB"/>
        </w:rPr>
      </w:pPr>
    </w:p>
    <w:p w14:paraId="072DF172" w14:textId="77777777" w:rsidR="00BA004A" w:rsidRDefault="00BA004A" w:rsidP="007E430D">
      <w:pPr>
        <w:rPr>
          <w:lang w:val="en-GB"/>
        </w:rPr>
      </w:pPr>
    </w:p>
    <w:p w14:paraId="089458BE" w14:textId="77777777" w:rsidR="00BA004A" w:rsidRDefault="00BA004A" w:rsidP="007E430D">
      <w:pPr>
        <w:rPr>
          <w:lang w:val="en-GB"/>
        </w:rPr>
      </w:pPr>
    </w:p>
    <w:p w14:paraId="3E1D1896" w14:textId="77777777" w:rsidR="00BA004A" w:rsidRDefault="00BA004A" w:rsidP="007E430D">
      <w:pPr>
        <w:rPr>
          <w:lang w:val="en-GB"/>
        </w:rPr>
      </w:pPr>
    </w:p>
    <w:p w14:paraId="5C6CF0C2" w14:textId="77777777" w:rsidR="00BA004A" w:rsidRPr="003F4F12" w:rsidRDefault="00BA004A" w:rsidP="00BA004A">
      <w:pPr>
        <w:jc w:val="both"/>
        <w:rPr>
          <w:rFonts w:ascii="Times New Roman" w:hAnsi="Times New Roman" w:cs="Times New Roman"/>
          <w:lang w:val="en-GB"/>
        </w:rPr>
      </w:pPr>
    </w:p>
    <w:p w14:paraId="5A5D2202" w14:textId="77777777" w:rsidR="00BA004A" w:rsidRPr="003F4F12" w:rsidRDefault="00BA004A" w:rsidP="00BA004A">
      <w:pPr>
        <w:jc w:val="both"/>
        <w:rPr>
          <w:rFonts w:ascii="Times New Roman" w:hAnsi="Times New Roman" w:cs="Times New Roman"/>
          <w:lang w:val="en-GB"/>
        </w:rPr>
      </w:pPr>
      <w:r w:rsidRPr="003F4F12">
        <w:rPr>
          <w:rFonts w:ascii="Times New Roman" w:hAnsi="Times New Roman" w:cs="Times New Roman"/>
          <w:noProof/>
        </w:rPr>
        <w:drawing>
          <wp:inline distT="0" distB="0" distL="0" distR="0" wp14:anchorId="792E0529" wp14:editId="0080CCD8">
            <wp:extent cx="3568121" cy="168645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37" cy="169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9745" w14:textId="3CEDFD00" w:rsidR="00BA004A" w:rsidRPr="003F4F12" w:rsidRDefault="00BA004A" w:rsidP="00BA004A">
      <w:pPr>
        <w:pStyle w:val="Beschriftung"/>
        <w:jc w:val="both"/>
      </w:pPr>
      <w:r w:rsidRPr="003F4F12">
        <w:t xml:space="preserve">Figure </w:t>
      </w:r>
      <w:r>
        <w:t>S</w:t>
      </w:r>
      <w:r>
        <w:rPr>
          <w:noProof/>
        </w:rPr>
        <w:t>3</w:t>
      </w:r>
      <w:r w:rsidRPr="003F4F12">
        <w:t xml:space="preserve">: Cereal yields (primary harvest without residues, constant 2007 boarders) per area </w:t>
      </w:r>
      <w:r>
        <w:t xml:space="preserve">land planted to cereals </w:t>
      </w:r>
      <w:r w:rsidRPr="003F4F12">
        <w:t>[gC/m</w:t>
      </w:r>
      <w:r w:rsidRPr="00235F00">
        <w:rPr>
          <w:vertAlign w:val="superscript"/>
        </w:rPr>
        <w:t>2</w:t>
      </w:r>
      <w:r w:rsidRPr="003F4F12">
        <w:t xml:space="preserve">/yr] from 1883 to 2007. </w:t>
      </w:r>
    </w:p>
    <w:p w14:paraId="7D4508BB" w14:textId="77777777" w:rsidR="00BA004A" w:rsidRDefault="00BA004A" w:rsidP="007E430D">
      <w:pPr>
        <w:rPr>
          <w:lang w:val="en-GB"/>
        </w:rPr>
      </w:pPr>
    </w:p>
    <w:p w14:paraId="268902B9" w14:textId="77777777" w:rsidR="007E430D" w:rsidRDefault="007E430D" w:rsidP="007E430D">
      <w:pPr>
        <w:rPr>
          <w:lang w:val="en-GB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</w:tblGrid>
      <w:tr w:rsidR="007E430D" w14:paraId="6E37A135" w14:textId="77777777" w:rsidTr="007E430D">
        <w:tc>
          <w:tcPr>
            <w:tcW w:w="8076" w:type="dxa"/>
          </w:tcPr>
          <w:p w14:paraId="6D0CB94C" w14:textId="1C2D83AF" w:rsidR="007E430D" w:rsidRDefault="007E430D" w:rsidP="007E430D">
            <w:pPr>
              <w:rPr>
                <w:lang w:val="en-GB"/>
              </w:rPr>
            </w:pPr>
            <w:r>
              <w:rPr>
                <w:lang w:val="en-GB"/>
              </w:rPr>
              <w:t>a)</w:t>
            </w:r>
          </w:p>
          <w:p w14:paraId="46240098" w14:textId="2682368E" w:rsidR="007E430D" w:rsidRDefault="007E430D" w:rsidP="007E430D">
            <w:pPr>
              <w:rPr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6CC375" wp14:editId="2D478402">
                  <wp:extent cx="4991100" cy="2021189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202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30D" w14:paraId="4327E86F" w14:textId="77777777" w:rsidTr="007E430D">
        <w:tc>
          <w:tcPr>
            <w:tcW w:w="8076" w:type="dxa"/>
          </w:tcPr>
          <w:p w14:paraId="431BC906" w14:textId="77777777" w:rsidR="007E430D" w:rsidRDefault="007E430D" w:rsidP="007E430D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lang w:val="en-GB"/>
              </w:rPr>
              <w:lastRenderedPageBreak/>
              <w:t>b)</w:t>
            </w:r>
            <w:r w:rsidRPr="003F4F12">
              <w:rPr>
                <w:rFonts w:ascii="Times New Roman" w:hAnsi="Times New Roman" w:cs="Times New Roman"/>
                <w:noProof/>
                <w:lang w:val="en-GB" w:eastAsia="en-GB"/>
              </w:rPr>
              <w:t xml:space="preserve"> </w:t>
            </w:r>
          </w:p>
          <w:p w14:paraId="67304DDC" w14:textId="4822D245" w:rsidR="007E430D" w:rsidRDefault="007E430D" w:rsidP="007E430D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2DD9B73" wp14:editId="6B074FD6">
                  <wp:extent cx="4991100" cy="2247396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2247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BB3F6" w14:textId="1CB57A89" w:rsidR="00B26660" w:rsidRPr="003F4F12" w:rsidRDefault="00B26660" w:rsidP="003F4F12">
      <w:pPr>
        <w:pStyle w:val="Beschriftung"/>
        <w:jc w:val="both"/>
      </w:pPr>
      <w:r w:rsidRPr="003F4F12">
        <w:t xml:space="preserve">Figure </w:t>
      </w:r>
      <w:r w:rsidR="00945E89">
        <w:t>S</w:t>
      </w:r>
      <w:r w:rsidR="00BA004A">
        <w:rPr>
          <w:noProof/>
        </w:rPr>
        <w:t>4</w:t>
      </w:r>
      <w:r w:rsidRPr="003F4F12">
        <w:t xml:space="preserve">: </w:t>
      </w:r>
      <w:r w:rsidR="007E430D">
        <w:t xml:space="preserve">a) Annual feed supply between 1883 and 2007, b) </w:t>
      </w:r>
      <w:r w:rsidRPr="003F4F12">
        <w:t>Livestock species in Mio heads per year</w:t>
      </w:r>
      <w:r w:rsidR="007E430D">
        <w:t>, p</w:t>
      </w:r>
      <w:r w:rsidR="007E430D" w:rsidRPr="003F4F12">
        <w:t xml:space="preserve">oultry </w:t>
      </w:r>
      <w:r w:rsidR="007E430D">
        <w:t xml:space="preserve">in billion </w:t>
      </w:r>
      <w:r w:rsidR="00235F00">
        <w:t xml:space="preserve">heads </w:t>
      </w:r>
      <w:r w:rsidR="007E430D">
        <w:t>per year</w:t>
      </w:r>
      <w:r w:rsidR="00235F00">
        <w:t>.</w:t>
      </w:r>
      <w:r w:rsidR="007E430D">
        <w:t xml:space="preserve"> a) and b) are shown in </w:t>
      </w:r>
      <w:r w:rsidR="007E54F2">
        <w:t>constant</w:t>
      </w:r>
      <w:r w:rsidR="007E430D">
        <w:t xml:space="preserve"> 2007 </w:t>
      </w:r>
      <w:r w:rsidR="007E54F2">
        <w:t>boarders</w:t>
      </w:r>
      <w:r w:rsidRPr="003F4F12">
        <w:t xml:space="preserve">. </w:t>
      </w:r>
    </w:p>
    <w:p w14:paraId="2E23C314" w14:textId="77777777" w:rsidR="009D3A14" w:rsidRPr="003F4F12" w:rsidRDefault="009D3A14" w:rsidP="003F4F12">
      <w:pPr>
        <w:jc w:val="both"/>
        <w:rPr>
          <w:rFonts w:ascii="Times New Roman" w:hAnsi="Times New Roman" w:cs="Times New Roman"/>
          <w:lang w:val="en-GB"/>
        </w:rPr>
      </w:pPr>
    </w:p>
    <w:p w14:paraId="510C0AE8" w14:textId="2EA28ACA" w:rsidR="009D3A14" w:rsidRPr="003F4F12" w:rsidRDefault="00633B2E" w:rsidP="003F4F12">
      <w:pPr>
        <w:pStyle w:val="Beschriftung"/>
        <w:jc w:val="both"/>
      </w:pPr>
      <w:r w:rsidRPr="003F4F12">
        <w:t xml:space="preserve"> 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</w:tblGrid>
      <w:tr w:rsidR="008F6FB6" w:rsidRPr="003F4F12" w14:paraId="2A8D5022" w14:textId="77777777" w:rsidTr="00235F00">
        <w:trPr>
          <w:trHeight w:val="2762"/>
        </w:trPr>
        <w:tc>
          <w:tcPr>
            <w:tcW w:w="5442" w:type="dxa"/>
          </w:tcPr>
          <w:p w14:paraId="473DD7D1" w14:textId="37674C3C" w:rsidR="008F6FB6" w:rsidRPr="003F4F12" w:rsidRDefault="008F6FB6" w:rsidP="003F4F12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F4F1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E47750" wp14:editId="27C1DF8D">
                  <wp:extent cx="2945423" cy="16002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3" t="1942" r="1416" b="9615"/>
                          <a:stretch/>
                        </pic:blipFill>
                        <pic:spPr bwMode="auto">
                          <a:xfrm>
                            <a:off x="0" y="0"/>
                            <a:ext cx="2975961" cy="161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FB6" w:rsidRPr="003F4F12" w14:paraId="06555150" w14:textId="77777777" w:rsidTr="00235F00">
        <w:trPr>
          <w:trHeight w:val="296"/>
        </w:trPr>
        <w:tc>
          <w:tcPr>
            <w:tcW w:w="5442" w:type="dxa"/>
          </w:tcPr>
          <w:p w14:paraId="0A47FA2D" w14:textId="5BB0D2CB" w:rsidR="008F6FB6" w:rsidRPr="003F4F12" w:rsidRDefault="008F6FB6" w:rsidP="003F4F12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F4F1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939C53" wp14:editId="1EE0E92E">
                  <wp:extent cx="2494974" cy="14946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0" t="92675" r="21730" b="1359"/>
                          <a:stretch/>
                        </pic:blipFill>
                        <pic:spPr bwMode="auto">
                          <a:xfrm>
                            <a:off x="0" y="0"/>
                            <a:ext cx="2829248" cy="16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2D762" w14:textId="45B2900D" w:rsidR="008B1E70" w:rsidRPr="003F4F12" w:rsidRDefault="00633B2E" w:rsidP="003F4F12">
      <w:pPr>
        <w:pStyle w:val="Beschriftung"/>
        <w:jc w:val="both"/>
      </w:pPr>
      <w:r w:rsidRPr="003F4F12">
        <w:t xml:space="preserve">Figure </w:t>
      </w:r>
      <w:r w:rsidR="00945E89">
        <w:t>S</w:t>
      </w:r>
      <w:r w:rsidR="00BA004A">
        <w:rPr>
          <w:noProof/>
        </w:rPr>
        <w:t>5</w:t>
      </w:r>
      <w:r w:rsidRPr="003F4F12">
        <w:t xml:space="preserve">: Net biomass trade in </w:t>
      </w:r>
      <w:r w:rsidR="00A525F1" w:rsidRPr="003F4F12">
        <w:t xml:space="preserve">East and West Germany </w:t>
      </w:r>
      <w:r w:rsidRPr="003F4F12">
        <w:t>from 1961 to 1989. Net trade refers to imports minus e</w:t>
      </w:r>
      <w:r w:rsidR="00AF2036" w:rsidRPr="003F4F12">
        <w:t xml:space="preserve">xports of tons </w:t>
      </w:r>
      <w:r w:rsidR="00FF2FEE">
        <w:t>c</w:t>
      </w:r>
      <w:r w:rsidR="00AF2036" w:rsidRPr="003F4F12">
        <w:t>arbon per year.</w:t>
      </w:r>
      <w:r w:rsidR="00285D58" w:rsidRPr="003F4F12">
        <w:t xml:space="preserve"> Values are shown in 5-year intervals</w:t>
      </w:r>
      <w:r w:rsidR="00235F00">
        <w:t>.</w:t>
      </w:r>
    </w:p>
    <w:p w14:paraId="2439D04B" w14:textId="77777777" w:rsidR="00AF2036" w:rsidRPr="003F4F12" w:rsidRDefault="00AF2036" w:rsidP="003F4F12">
      <w:pPr>
        <w:jc w:val="both"/>
        <w:rPr>
          <w:rFonts w:ascii="Times New Roman" w:hAnsi="Times New Roman" w:cs="Times New Roman"/>
          <w:lang w:val="en-GB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4896"/>
      </w:tblGrid>
      <w:tr w:rsidR="00AF2036" w:rsidRPr="003F4F12" w14:paraId="0A11251F" w14:textId="77777777" w:rsidTr="004320B9">
        <w:trPr>
          <w:trHeight w:val="2733"/>
        </w:trPr>
        <w:tc>
          <w:tcPr>
            <w:tcW w:w="3760" w:type="dxa"/>
          </w:tcPr>
          <w:p w14:paraId="022A2C83" w14:textId="26FA4F7E" w:rsidR="00AF2036" w:rsidRPr="003F4F12" w:rsidRDefault="00AF2036" w:rsidP="003F4F12">
            <w:pPr>
              <w:jc w:val="both"/>
              <w:rPr>
                <w:rFonts w:ascii="Times New Roman" w:hAnsi="Times New Roman" w:cs="Times New Roman"/>
                <w:noProof/>
                <w:lang w:eastAsia="de-DE"/>
              </w:rPr>
            </w:pPr>
            <w:r w:rsidRPr="003F4F12">
              <w:rPr>
                <w:rFonts w:ascii="Times New Roman" w:hAnsi="Times New Roman" w:cs="Times New Roman"/>
                <w:noProof/>
                <w:lang w:eastAsia="de-DE"/>
              </w:rPr>
              <w:lastRenderedPageBreak/>
              <w:t>a)</w:t>
            </w:r>
          </w:p>
          <w:p w14:paraId="7C668A68" w14:textId="4B6B0DA5" w:rsidR="00AF2036" w:rsidRPr="003F4F12" w:rsidRDefault="00AF2036" w:rsidP="003F4F12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F4F1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F76043" wp14:editId="25246D34">
                  <wp:extent cx="2250831" cy="1472906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547" cy="150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14:paraId="6A575BF1" w14:textId="2F238ECD" w:rsidR="00AF2036" w:rsidRPr="003F4F12" w:rsidRDefault="00AF2036" w:rsidP="003F4F12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F4F12">
              <w:rPr>
                <w:rFonts w:ascii="Times New Roman" w:hAnsi="Times New Roman" w:cs="Times New Roman"/>
                <w:lang w:val="en-GB"/>
              </w:rPr>
              <w:t>b)</w:t>
            </w:r>
          </w:p>
          <w:p w14:paraId="04D8BE82" w14:textId="4FDE03A0" w:rsidR="00AF2036" w:rsidRPr="003F4F12" w:rsidRDefault="00AF2036" w:rsidP="003F4F12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F4F1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3DFD79" wp14:editId="5E7875A1">
                  <wp:extent cx="2971800" cy="1475993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43" cy="150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0B9" w:rsidRPr="003F4F12" w14:paraId="0A7A39AD" w14:textId="77777777" w:rsidTr="008F6FB6">
        <w:trPr>
          <w:trHeight w:val="380"/>
        </w:trPr>
        <w:tc>
          <w:tcPr>
            <w:tcW w:w="8656" w:type="dxa"/>
            <w:gridSpan w:val="2"/>
          </w:tcPr>
          <w:p w14:paraId="042E9797" w14:textId="7A8FD69F" w:rsidR="004320B9" w:rsidRPr="003F4F12" w:rsidRDefault="004320B9" w:rsidP="003F4F12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F4F1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299568" wp14:editId="0555BC88">
                  <wp:extent cx="2494974" cy="149469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0" t="92675" r="21730" b="1359"/>
                          <a:stretch/>
                        </pic:blipFill>
                        <pic:spPr bwMode="auto">
                          <a:xfrm>
                            <a:off x="0" y="0"/>
                            <a:ext cx="2829248" cy="16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80D64" w14:textId="484EEDE4" w:rsidR="008B1E70" w:rsidRPr="003F4F12" w:rsidRDefault="00633B2E" w:rsidP="003F4F12">
      <w:pPr>
        <w:pStyle w:val="Beschriftung"/>
        <w:jc w:val="both"/>
      </w:pPr>
      <w:r w:rsidRPr="003F4F12">
        <w:t xml:space="preserve">Figure </w:t>
      </w:r>
      <w:r w:rsidR="00945E89">
        <w:t>S</w:t>
      </w:r>
      <w:r w:rsidR="00BA004A">
        <w:rPr>
          <w:noProof/>
        </w:rPr>
        <w:t>6</w:t>
      </w:r>
      <w:r w:rsidRPr="003F4F12">
        <w:t xml:space="preserve">: </w:t>
      </w:r>
      <w:r w:rsidR="00AF2036" w:rsidRPr="003F4F12">
        <w:t xml:space="preserve">a) </w:t>
      </w:r>
      <w:r w:rsidRPr="003F4F12">
        <w:t>Number of tractors per km</w:t>
      </w:r>
      <w:r w:rsidRPr="003F4F12">
        <w:rPr>
          <w:vertAlign w:val="superscript"/>
        </w:rPr>
        <w:t>2</w:t>
      </w:r>
      <w:r w:rsidRPr="003F4F12">
        <w:t xml:space="preserve"> of cropland per year in </w:t>
      </w:r>
      <w:r w:rsidR="00A525F1" w:rsidRPr="003F4F12">
        <w:t>East and West Germany</w:t>
      </w:r>
      <w:r w:rsidRPr="003F4F12">
        <w:t xml:space="preserve"> </w:t>
      </w:r>
      <w:r w:rsidR="00AF2036" w:rsidRPr="003F4F12">
        <w:t xml:space="preserve">from 1950 </w:t>
      </w:r>
      <w:r w:rsidR="00151252" w:rsidRPr="003F4F12">
        <w:t>until</w:t>
      </w:r>
      <w:r w:rsidRPr="003F4F12">
        <w:t xml:space="preserve"> 1989</w:t>
      </w:r>
      <w:r w:rsidR="00AF2036" w:rsidRPr="003F4F12">
        <w:t>, b) Livestock density [animals/km</w:t>
      </w:r>
      <w:r w:rsidR="00AF2036" w:rsidRPr="00235F00">
        <w:rPr>
          <w:vertAlign w:val="superscript"/>
        </w:rPr>
        <w:t>2</w:t>
      </w:r>
      <w:r w:rsidR="00AF2036" w:rsidRPr="003F4F12">
        <w:t>/yr] in East and West Germany from 1950 to 2007</w:t>
      </w:r>
      <w:r w:rsidR="00235F00">
        <w:t>.</w:t>
      </w:r>
    </w:p>
    <w:p w14:paraId="21285A34" w14:textId="575BE592" w:rsidR="00A525F1" w:rsidRPr="003F4F12" w:rsidRDefault="00A525F1" w:rsidP="003F4F12">
      <w:pPr>
        <w:jc w:val="both"/>
        <w:rPr>
          <w:rFonts w:ascii="Times New Roman" w:hAnsi="Times New Roman" w:cs="Times New Roman"/>
          <w:lang w:val="en-US"/>
        </w:rPr>
      </w:pPr>
    </w:p>
    <w:p w14:paraId="3F66A306" w14:textId="69BFA95B" w:rsidR="009D3A14" w:rsidRPr="003F4F12" w:rsidRDefault="009D3A14" w:rsidP="003F4F12">
      <w:pPr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</w:pPr>
    </w:p>
    <w:p w14:paraId="5F88F405" w14:textId="77777777" w:rsidR="00321D63" w:rsidRDefault="00B03F27" w:rsidP="00406620">
      <w:pPr>
        <w:pStyle w:val="berschrift1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bookmarkStart w:id="23" w:name="_Toc377628834"/>
      <w:r w:rsidRPr="003F4F12">
        <w:rPr>
          <w:rFonts w:ascii="Times New Roman" w:hAnsi="Times New Roman" w:cs="Times New Roman"/>
          <w:color w:val="auto"/>
        </w:rPr>
        <w:t>References</w:t>
      </w:r>
      <w:bookmarkEnd w:id="23"/>
    </w:p>
    <w:p w14:paraId="490B8595" w14:textId="77777777" w:rsidR="00B63367" w:rsidRPr="00B63367" w:rsidRDefault="00B63367" w:rsidP="00B63367"/>
    <w:p w14:paraId="4992FB8E" w14:textId="366682FD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A05676">
        <w:rPr>
          <w:rFonts w:ascii="Times New Roman" w:hAnsi="Times New Roman" w:cs="Times New Roman"/>
          <w:sz w:val="24"/>
        </w:rPr>
        <w:t>Destatis, 1950</w:t>
      </w:r>
      <w:r w:rsidR="0024281B">
        <w:rPr>
          <w:rFonts w:ascii="Times New Roman" w:hAnsi="Times New Roman" w:cs="Times New Roman"/>
          <w:sz w:val="24"/>
        </w:rPr>
        <w:t>-2013</w:t>
      </w:r>
      <w:r w:rsidRPr="00A05676">
        <w:rPr>
          <w:rFonts w:ascii="Times New Roman" w:hAnsi="Times New Roman" w:cs="Times New Roman"/>
          <w:sz w:val="24"/>
        </w:rPr>
        <w:t xml:space="preserve">. </w:t>
      </w:r>
      <w:r w:rsidRPr="00A05676">
        <w:rPr>
          <w:rFonts w:ascii="Times New Roman" w:hAnsi="Times New Roman" w:cs="Times New Roman"/>
          <w:i/>
          <w:iCs/>
          <w:sz w:val="24"/>
        </w:rPr>
        <w:t>Statistisches Jahrbuch für die Bundesrepublik Deutschland</w:t>
      </w:r>
      <w:r w:rsidRPr="00A05676">
        <w:rPr>
          <w:rFonts w:ascii="Times New Roman" w:hAnsi="Times New Roman" w:cs="Times New Roman"/>
          <w:sz w:val="24"/>
        </w:rPr>
        <w:t>, Wiesbaden: Statistisches Bundesamt Deutschland.</w:t>
      </w:r>
    </w:p>
    <w:p w14:paraId="1205AF75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  <w:lang w:val="en-US"/>
        </w:rPr>
      </w:pPr>
      <w:r w:rsidRPr="00A05676">
        <w:rPr>
          <w:rFonts w:ascii="Times New Roman" w:hAnsi="Times New Roman" w:cs="Times New Roman"/>
          <w:sz w:val="24"/>
          <w:lang w:val="en-US"/>
        </w:rPr>
        <w:t xml:space="preserve">Erb, K.-H. et al., 2013. Bias in the attribution of forest carbon sinks. </w:t>
      </w:r>
      <w:r w:rsidRPr="00A05676">
        <w:rPr>
          <w:rFonts w:ascii="Times New Roman" w:hAnsi="Times New Roman" w:cs="Times New Roman"/>
          <w:i/>
          <w:iCs/>
          <w:sz w:val="24"/>
          <w:lang w:val="en-US"/>
        </w:rPr>
        <w:t>Nature Climate Change</w:t>
      </w:r>
      <w:r w:rsidRPr="00A05676">
        <w:rPr>
          <w:rFonts w:ascii="Times New Roman" w:hAnsi="Times New Roman" w:cs="Times New Roman"/>
          <w:sz w:val="24"/>
          <w:lang w:val="en-US"/>
        </w:rPr>
        <w:t>, 3(10), pp.854–856.</w:t>
      </w:r>
    </w:p>
    <w:p w14:paraId="7F28D1E6" w14:textId="622E5B26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  <w:lang w:val="en-US"/>
        </w:rPr>
      </w:pPr>
      <w:r w:rsidRPr="00A05676">
        <w:rPr>
          <w:rFonts w:ascii="Times New Roman" w:hAnsi="Times New Roman" w:cs="Times New Roman"/>
          <w:sz w:val="24"/>
          <w:lang w:val="en-US"/>
        </w:rPr>
        <w:t xml:space="preserve">Evans, L.T., 1996. </w:t>
      </w:r>
      <w:r w:rsidRPr="00A05676">
        <w:rPr>
          <w:rFonts w:ascii="Times New Roman" w:hAnsi="Times New Roman" w:cs="Times New Roman"/>
          <w:i/>
          <w:iCs/>
          <w:sz w:val="24"/>
          <w:lang w:val="en-US"/>
        </w:rPr>
        <w:t>Crop evolution, adaptation and yield</w:t>
      </w:r>
      <w:r w:rsidRPr="00A05676">
        <w:rPr>
          <w:rFonts w:ascii="Times New Roman" w:hAnsi="Times New Roman" w:cs="Times New Roman"/>
          <w:sz w:val="24"/>
          <w:lang w:val="en-US"/>
        </w:rPr>
        <w:t xml:space="preserve">, Cambridge University Press. </w:t>
      </w:r>
    </w:p>
    <w:p w14:paraId="5C095FCF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  <w:lang w:val="en-US"/>
        </w:rPr>
      </w:pPr>
      <w:r w:rsidRPr="00A05676">
        <w:rPr>
          <w:rFonts w:ascii="Times New Roman" w:hAnsi="Times New Roman" w:cs="Times New Roman"/>
          <w:sz w:val="24"/>
          <w:lang w:val="en-US"/>
        </w:rPr>
        <w:t xml:space="preserve">FAO, 2013. FAOSTAT: Statistical Database of the United Nations Food and Agricultural Organization. </w:t>
      </w:r>
      <w:r w:rsidRPr="00A05676">
        <w:rPr>
          <w:rFonts w:ascii="Times New Roman" w:hAnsi="Times New Roman" w:cs="Times New Roman"/>
          <w:i/>
          <w:iCs/>
          <w:sz w:val="24"/>
          <w:lang w:val="en-US"/>
        </w:rPr>
        <w:t>http://faostat.fao.org/</w:t>
      </w:r>
      <w:r w:rsidRPr="00A05676">
        <w:rPr>
          <w:rFonts w:ascii="Times New Roman" w:hAnsi="Times New Roman" w:cs="Times New Roman"/>
          <w:sz w:val="24"/>
          <w:lang w:val="en-US"/>
        </w:rPr>
        <w:t>.</w:t>
      </w:r>
    </w:p>
    <w:p w14:paraId="11317649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A05676">
        <w:rPr>
          <w:rFonts w:ascii="Times New Roman" w:hAnsi="Times New Roman" w:cs="Times New Roman"/>
          <w:sz w:val="24"/>
        </w:rPr>
        <w:t>Franzmann, G., 2013. Die Entwicklung der deutschen Landwirtschaft und Fischerei: ausgewählte Reihen zu Nutzflächen, Tierbeständen, tierischer und pflanzlicher Produktion und zur Hochseefischerei, 1871 - 2010.</w:t>
      </w:r>
    </w:p>
    <w:p w14:paraId="31937FE6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A05676">
        <w:rPr>
          <w:rFonts w:ascii="Times New Roman" w:hAnsi="Times New Roman" w:cs="Times New Roman"/>
          <w:sz w:val="24"/>
        </w:rPr>
        <w:t>Franzmann, G., 2012a. Die Forstwirtschaft der ehemaligen Deutschen Demokratischen Republik: ausgewählte Daten nach der amtlichen Statistik der ehemaligen DDR (1945-1989).</w:t>
      </w:r>
    </w:p>
    <w:p w14:paraId="029E68EF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A05676">
        <w:rPr>
          <w:rFonts w:ascii="Times New Roman" w:hAnsi="Times New Roman" w:cs="Times New Roman"/>
          <w:sz w:val="24"/>
        </w:rPr>
        <w:t>Franzmann, G., 2012b. Zeitreihen zur deutschen Forst- und Holzwirtschaft: Betriebe, Forstflächen, Holzeinschlag, Waldbrände, Gesamtholzbilanz und Aussenhandelsbilanz (1946 – 2010).</w:t>
      </w:r>
    </w:p>
    <w:p w14:paraId="487237E8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  <w:lang w:val="en-US"/>
        </w:rPr>
      </w:pPr>
      <w:r w:rsidRPr="00A05676">
        <w:rPr>
          <w:rFonts w:ascii="Times New Roman" w:hAnsi="Times New Roman" w:cs="Times New Roman"/>
          <w:sz w:val="24"/>
          <w:lang w:val="en-US"/>
        </w:rPr>
        <w:t xml:space="preserve">Haberl, H. et al., 2007. Quantifying and mapping the human appropriation of net primary production in earth’s terrestrial ecosystems. </w:t>
      </w:r>
      <w:r w:rsidRPr="00A05676">
        <w:rPr>
          <w:rFonts w:ascii="Times New Roman" w:hAnsi="Times New Roman" w:cs="Times New Roman"/>
          <w:i/>
          <w:iCs/>
          <w:sz w:val="24"/>
          <w:lang w:val="en-US"/>
        </w:rPr>
        <w:t>Proceedings of the National Academy of Sciences</w:t>
      </w:r>
      <w:r w:rsidRPr="00A05676">
        <w:rPr>
          <w:rFonts w:ascii="Times New Roman" w:hAnsi="Times New Roman" w:cs="Times New Roman"/>
          <w:sz w:val="24"/>
          <w:lang w:val="en-US"/>
        </w:rPr>
        <w:t>, 104(31), p.12942.</w:t>
      </w:r>
    </w:p>
    <w:p w14:paraId="48F7B8FF" w14:textId="3D5A2532" w:rsidR="00A05676" w:rsidRPr="00B33B6B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BC64B6">
        <w:rPr>
          <w:rFonts w:ascii="Times New Roman" w:hAnsi="Times New Roman" w:cs="Times New Roman"/>
          <w:sz w:val="24"/>
          <w:lang w:val="en-US"/>
        </w:rPr>
        <w:t xml:space="preserve">Hoffmann, W.G., Grumbach, F. &amp; Hesse, H., 1965. </w:t>
      </w:r>
      <w:r w:rsidRPr="00A05676">
        <w:rPr>
          <w:rFonts w:ascii="Times New Roman" w:hAnsi="Times New Roman" w:cs="Times New Roman"/>
          <w:i/>
          <w:iCs/>
          <w:sz w:val="24"/>
        </w:rPr>
        <w:t xml:space="preserve">Das Wachstum der deutschen Wirtschaft seit der Mitte des 19. </w:t>
      </w:r>
      <w:r w:rsidRPr="00B33B6B">
        <w:rPr>
          <w:rFonts w:ascii="Times New Roman" w:hAnsi="Times New Roman" w:cs="Times New Roman"/>
          <w:i/>
          <w:iCs/>
          <w:sz w:val="24"/>
        </w:rPr>
        <w:t>Jahrhunderts</w:t>
      </w:r>
      <w:r w:rsidRPr="00B33B6B">
        <w:rPr>
          <w:rFonts w:ascii="Times New Roman" w:hAnsi="Times New Roman" w:cs="Times New Roman"/>
          <w:sz w:val="24"/>
        </w:rPr>
        <w:t xml:space="preserve">, Springer-Verlag. </w:t>
      </w:r>
    </w:p>
    <w:p w14:paraId="6280E241" w14:textId="224E718A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A05676">
        <w:rPr>
          <w:rFonts w:ascii="Times New Roman" w:hAnsi="Times New Roman" w:cs="Times New Roman"/>
          <w:sz w:val="24"/>
        </w:rPr>
        <w:lastRenderedPageBreak/>
        <w:t>Kaiserliches Statistisches Amt, 1884</w:t>
      </w:r>
      <w:r w:rsidR="0024281B">
        <w:rPr>
          <w:rFonts w:ascii="Times New Roman" w:hAnsi="Times New Roman" w:cs="Times New Roman"/>
          <w:sz w:val="24"/>
        </w:rPr>
        <w:t>-1917</w:t>
      </w:r>
      <w:r w:rsidRPr="00A05676">
        <w:rPr>
          <w:rFonts w:ascii="Times New Roman" w:hAnsi="Times New Roman" w:cs="Times New Roman"/>
          <w:sz w:val="24"/>
        </w:rPr>
        <w:t xml:space="preserve">. </w:t>
      </w:r>
      <w:r w:rsidRPr="00A05676">
        <w:rPr>
          <w:rFonts w:ascii="Times New Roman" w:hAnsi="Times New Roman" w:cs="Times New Roman"/>
          <w:i/>
          <w:iCs/>
          <w:sz w:val="24"/>
        </w:rPr>
        <w:t>Statistisches Jahrbuch für das Deutsche Reich</w:t>
      </w:r>
      <w:r w:rsidRPr="00A05676">
        <w:rPr>
          <w:rFonts w:ascii="Times New Roman" w:hAnsi="Times New Roman" w:cs="Times New Roman"/>
          <w:sz w:val="24"/>
        </w:rPr>
        <w:t>, Berlin: Kaiserliches Statistisches Amt.</w:t>
      </w:r>
    </w:p>
    <w:p w14:paraId="0574CCBB" w14:textId="4651C050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  <w:lang w:val="en-US"/>
        </w:rPr>
      </w:pPr>
      <w:r w:rsidRPr="00A05676">
        <w:rPr>
          <w:rFonts w:ascii="Times New Roman" w:hAnsi="Times New Roman" w:cs="Times New Roman"/>
          <w:sz w:val="24"/>
          <w:lang w:val="en-US"/>
        </w:rPr>
        <w:t xml:space="preserve">Krausmann, F. et al., 2013. Global human appropriation of net primary production doubled in the 20th century. </w:t>
      </w:r>
      <w:r w:rsidRPr="00A05676">
        <w:rPr>
          <w:rFonts w:ascii="Times New Roman" w:hAnsi="Times New Roman" w:cs="Times New Roman"/>
          <w:i/>
          <w:iCs/>
          <w:sz w:val="24"/>
          <w:lang w:val="en-US"/>
        </w:rPr>
        <w:t>Proceedings of the National Academy of Sciences</w:t>
      </w:r>
      <w:r w:rsidRPr="00A05676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6CDED1BC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  <w:lang w:val="en-US"/>
        </w:rPr>
      </w:pPr>
      <w:r w:rsidRPr="00A05676">
        <w:rPr>
          <w:rFonts w:ascii="Times New Roman" w:hAnsi="Times New Roman" w:cs="Times New Roman"/>
          <w:sz w:val="24"/>
          <w:lang w:val="en-US"/>
        </w:rPr>
        <w:t xml:space="preserve">Krausmann, F. et al., 2008. Global patterns of socioeconomic biomass flows in the year 2000: A comprehensive assessment of supply, consumption and constraints. </w:t>
      </w:r>
      <w:r w:rsidRPr="00A05676">
        <w:rPr>
          <w:rFonts w:ascii="Times New Roman" w:hAnsi="Times New Roman" w:cs="Times New Roman"/>
          <w:i/>
          <w:iCs/>
          <w:sz w:val="24"/>
          <w:lang w:val="en-US"/>
        </w:rPr>
        <w:t>Ecological Economics</w:t>
      </w:r>
      <w:r w:rsidRPr="00A05676">
        <w:rPr>
          <w:rFonts w:ascii="Times New Roman" w:hAnsi="Times New Roman" w:cs="Times New Roman"/>
          <w:sz w:val="24"/>
          <w:lang w:val="en-US"/>
        </w:rPr>
        <w:t>, 65(3), pp.471–487.</w:t>
      </w:r>
    </w:p>
    <w:p w14:paraId="3B211527" w14:textId="77777777" w:rsidR="00A05676" w:rsidRPr="00BC64B6" w:rsidRDefault="00A05676" w:rsidP="00A05676">
      <w:pPr>
        <w:pStyle w:val="Literaturverzeichnis"/>
        <w:rPr>
          <w:rFonts w:ascii="Times New Roman" w:hAnsi="Times New Roman" w:cs="Times New Roman"/>
          <w:sz w:val="24"/>
          <w:lang w:val="en-US"/>
        </w:rPr>
      </w:pPr>
      <w:r w:rsidRPr="00A05676">
        <w:rPr>
          <w:rFonts w:ascii="Times New Roman" w:hAnsi="Times New Roman" w:cs="Times New Roman"/>
          <w:sz w:val="24"/>
          <w:lang w:val="en-US"/>
        </w:rPr>
        <w:t xml:space="preserve">Krausmann, F., 2001. Land use and industrial modernization: an empirical analysis of human influence on the functioning of ecosystems in Austria 1830–1995. </w:t>
      </w:r>
      <w:r w:rsidRPr="00BC64B6">
        <w:rPr>
          <w:rFonts w:ascii="Times New Roman" w:hAnsi="Times New Roman" w:cs="Times New Roman"/>
          <w:i/>
          <w:iCs/>
          <w:sz w:val="24"/>
          <w:lang w:val="en-US"/>
        </w:rPr>
        <w:t>Land Use Policy</w:t>
      </w:r>
      <w:r w:rsidRPr="00BC64B6">
        <w:rPr>
          <w:rFonts w:ascii="Times New Roman" w:hAnsi="Times New Roman" w:cs="Times New Roman"/>
          <w:sz w:val="24"/>
          <w:lang w:val="en-US"/>
        </w:rPr>
        <w:t>, 18(1), pp.17–26.</w:t>
      </w:r>
    </w:p>
    <w:p w14:paraId="0D3AF93C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BC64B6">
        <w:rPr>
          <w:rFonts w:ascii="Times New Roman" w:hAnsi="Times New Roman" w:cs="Times New Roman"/>
          <w:sz w:val="24"/>
          <w:lang w:val="en-US"/>
        </w:rPr>
        <w:t xml:space="preserve">Schilling, H.-D., Hildebrandt, R. &amp; Peters, W., 1977. </w:t>
      </w:r>
      <w:r w:rsidRPr="00A05676">
        <w:rPr>
          <w:rFonts w:ascii="Times New Roman" w:hAnsi="Times New Roman" w:cs="Times New Roman"/>
          <w:i/>
          <w:iCs/>
          <w:sz w:val="24"/>
        </w:rPr>
        <w:t>Primärenergie, elektrische Energie: d. Entwicklung d. Verbrauchs an Primärenergieträgern u. an elektr. Energie in d. Welt, in d. USA u. in Deutschland seit 1860 bzw. 1925</w:t>
      </w:r>
      <w:r w:rsidRPr="00A05676">
        <w:rPr>
          <w:rFonts w:ascii="Times New Roman" w:hAnsi="Times New Roman" w:cs="Times New Roman"/>
          <w:sz w:val="24"/>
        </w:rPr>
        <w:t>, Verlag Glückauf.</w:t>
      </w:r>
    </w:p>
    <w:p w14:paraId="7BF93FB1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C32566">
        <w:rPr>
          <w:rFonts w:ascii="Times New Roman" w:hAnsi="Times New Roman" w:cs="Times New Roman"/>
          <w:sz w:val="24"/>
          <w:lang w:val="en-US"/>
        </w:rPr>
        <w:t xml:space="preserve">Sitch, S. et al., 2003. </w:t>
      </w:r>
      <w:r w:rsidRPr="00BC64B6">
        <w:rPr>
          <w:rFonts w:ascii="Times New Roman" w:hAnsi="Times New Roman" w:cs="Times New Roman"/>
          <w:sz w:val="24"/>
          <w:lang w:val="en-US"/>
        </w:rPr>
        <w:t xml:space="preserve">Evaluation of ecosystem dynamics, plant geography and terrestrial carbon cycling in the LPJ dynamic global vegetation model. </w:t>
      </w:r>
      <w:r w:rsidRPr="00A05676">
        <w:rPr>
          <w:rFonts w:ascii="Times New Roman" w:hAnsi="Times New Roman" w:cs="Times New Roman"/>
          <w:i/>
          <w:iCs/>
          <w:sz w:val="24"/>
        </w:rPr>
        <w:t>Global Change Biology</w:t>
      </w:r>
      <w:r w:rsidRPr="00A05676">
        <w:rPr>
          <w:rFonts w:ascii="Times New Roman" w:hAnsi="Times New Roman" w:cs="Times New Roman"/>
          <w:sz w:val="24"/>
        </w:rPr>
        <w:t>, 9(2), pp.161–185.</w:t>
      </w:r>
    </w:p>
    <w:p w14:paraId="240D5786" w14:textId="28B738B6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A05676">
        <w:rPr>
          <w:rFonts w:ascii="Times New Roman" w:hAnsi="Times New Roman" w:cs="Times New Roman"/>
          <w:sz w:val="24"/>
        </w:rPr>
        <w:t>StRA, 191</w:t>
      </w:r>
      <w:r w:rsidR="0024281B">
        <w:rPr>
          <w:rFonts w:ascii="Times New Roman" w:hAnsi="Times New Roman" w:cs="Times New Roman"/>
          <w:sz w:val="24"/>
        </w:rPr>
        <w:t>8-1948</w:t>
      </w:r>
      <w:r w:rsidRPr="00A05676">
        <w:rPr>
          <w:rFonts w:ascii="Times New Roman" w:hAnsi="Times New Roman" w:cs="Times New Roman"/>
          <w:sz w:val="24"/>
        </w:rPr>
        <w:t xml:space="preserve">. </w:t>
      </w:r>
      <w:r w:rsidRPr="00A05676">
        <w:rPr>
          <w:rFonts w:ascii="Times New Roman" w:hAnsi="Times New Roman" w:cs="Times New Roman"/>
          <w:i/>
          <w:iCs/>
          <w:sz w:val="24"/>
        </w:rPr>
        <w:t>Statistisches Jahrbuch für das Deutsche Reich</w:t>
      </w:r>
      <w:r w:rsidRPr="00A05676">
        <w:rPr>
          <w:rFonts w:ascii="Times New Roman" w:hAnsi="Times New Roman" w:cs="Times New Roman"/>
          <w:sz w:val="24"/>
        </w:rPr>
        <w:t>, Statistisches Reichsamt.</w:t>
      </w:r>
    </w:p>
    <w:p w14:paraId="2EE36AA6" w14:textId="02129E69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</w:rPr>
      </w:pPr>
      <w:r w:rsidRPr="00A05676">
        <w:rPr>
          <w:rFonts w:ascii="Times New Roman" w:hAnsi="Times New Roman" w:cs="Times New Roman"/>
          <w:sz w:val="24"/>
        </w:rPr>
        <w:t>SZS, 1950</w:t>
      </w:r>
      <w:r w:rsidR="0024281B">
        <w:rPr>
          <w:rFonts w:ascii="Times New Roman" w:hAnsi="Times New Roman" w:cs="Times New Roman"/>
          <w:sz w:val="24"/>
        </w:rPr>
        <w:t>-1989</w:t>
      </w:r>
      <w:r w:rsidRPr="00A05676">
        <w:rPr>
          <w:rFonts w:ascii="Times New Roman" w:hAnsi="Times New Roman" w:cs="Times New Roman"/>
          <w:sz w:val="24"/>
        </w:rPr>
        <w:t xml:space="preserve">. </w:t>
      </w:r>
      <w:r w:rsidRPr="00A05676">
        <w:rPr>
          <w:rFonts w:ascii="Times New Roman" w:hAnsi="Times New Roman" w:cs="Times New Roman"/>
          <w:i/>
          <w:iCs/>
          <w:sz w:val="24"/>
        </w:rPr>
        <w:t>Statistisches Jahrbuch der Deutschen Demokratischen Republik</w:t>
      </w:r>
      <w:r w:rsidRPr="00A05676">
        <w:rPr>
          <w:rFonts w:ascii="Times New Roman" w:hAnsi="Times New Roman" w:cs="Times New Roman"/>
          <w:sz w:val="24"/>
        </w:rPr>
        <w:t>, Berlin: Staatliche Zentralverwaltung für Statistik.</w:t>
      </w:r>
    </w:p>
    <w:p w14:paraId="657F3A45" w14:textId="77777777" w:rsidR="00A05676" w:rsidRPr="00A05676" w:rsidRDefault="00A05676" w:rsidP="00A05676">
      <w:pPr>
        <w:pStyle w:val="Literaturverzeichnis"/>
        <w:rPr>
          <w:rFonts w:ascii="Times New Roman" w:hAnsi="Times New Roman" w:cs="Times New Roman"/>
          <w:sz w:val="24"/>
          <w:lang w:val="en-US"/>
        </w:rPr>
      </w:pPr>
      <w:r w:rsidRPr="00A05676">
        <w:rPr>
          <w:rFonts w:ascii="Times New Roman" w:hAnsi="Times New Roman" w:cs="Times New Roman"/>
          <w:sz w:val="24"/>
          <w:lang w:val="en-US"/>
        </w:rPr>
        <w:t xml:space="preserve">Wirsenius, S., 2003. Efficiencies and biomass appropriation of food commodities on global and regional levels. </w:t>
      </w:r>
      <w:r w:rsidRPr="00A05676">
        <w:rPr>
          <w:rFonts w:ascii="Times New Roman" w:hAnsi="Times New Roman" w:cs="Times New Roman"/>
          <w:i/>
          <w:iCs/>
          <w:sz w:val="24"/>
          <w:lang w:val="en-US"/>
        </w:rPr>
        <w:t>Agricultural Systems</w:t>
      </w:r>
      <w:r w:rsidRPr="00A05676">
        <w:rPr>
          <w:rFonts w:ascii="Times New Roman" w:hAnsi="Times New Roman" w:cs="Times New Roman"/>
          <w:sz w:val="24"/>
          <w:lang w:val="en-US"/>
        </w:rPr>
        <w:t>, 77(3), pp.219–255.</w:t>
      </w:r>
    </w:p>
    <w:p w14:paraId="4CAEB165" w14:textId="4209EAA6" w:rsidR="00690A41" w:rsidRPr="003F4F12" w:rsidRDefault="00A05676" w:rsidP="0016230B">
      <w:pPr>
        <w:pStyle w:val="Literaturverzeichnis"/>
        <w:rPr>
          <w:rFonts w:ascii="Times New Roman" w:hAnsi="Times New Roman" w:cs="Times New Roman"/>
          <w:lang w:val="en-GB"/>
        </w:rPr>
      </w:pPr>
      <w:r w:rsidRPr="00A05676">
        <w:rPr>
          <w:rFonts w:ascii="Times New Roman" w:hAnsi="Times New Roman" w:cs="Times New Roman"/>
          <w:sz w:val="24"/>
          <w:lang w:val="en-US"/>
        </w:rPr>
        <w:t xml:space="preserve">Wirsenius, S., 2000. Human use of land and organic materials. </w:t>
      </w:r>
      <w:r w:rsidRPr="00A05676">
        <w:rPr>
          <w:rFonts w:ascii="Times New Roman" w:hAnsi="Times New Roman" w:cs="Times New Roman"/>
          <w:i/>
          <w:iCs/>
          <w:sz w:val="24"/>
          <w:lang w:val="en-US"/>
        </w:rPr>
        <w:t>Modeling the turnover of biomass in the global food system. Department of Physical Resource Theory. Göteborg, Sweden, Chalmers University of Technology and Göteborg University</w:t>
      </w:r>
      <w:r w:rsidRPr="00A05676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64D83DD7" w14:textId="77777777" w:rsidR="00AE19FF" w:rsidRPr="003F4F12" w:rsidRDefault="00AE19FF" w:rsidP="003F4F12">
      <w:pPr>
        <w:jc w:val="both"/>
        <w:rPr>
          <w:rFonts w:ascii="Times New Roman" w:hAnsi="Times New Roman" w:cs="Times New Roman"/>
          <w:lang w:val="en-GB"/>
        </w:rPr>
      </w:pPr>
    </w:p>
    <w:p w14:paraId="56C94C40" w14:textId="77777777" w:rsidR="00AE19FF" w:rsidRPr="003F4F12" w:rsidRDefault="00AE19FF" w:rsidP="003F4F12">
      <w:pPr>
        <w:jc w:val="both"/>
        <w:rPr>
          <w:rFonts w:ascii="Times New Roman" w:hAnsi="Times New Roman" w:cs="Times New Roman"/>
          <w:lang w:val="en-GB"/>
        </w:rPr>
      </w:pPr>
    </w:p>
    <w:p w14:paraId="037F29B7" w14:textId="77777777" w:rsidR="00141C71" w:rsidRPr="003F4F12" w:rsidRDefault="00141C71" w:rsidP="003F4F12">
      <w:pPr>
        <w:jc w:val="both"/>
        <w:rPr>
          <w:rFonts w:ascii="Times New Roman" w:hAnsi="Times New Roman" w:cs="Times New Roman"/>
          <w:lang w:val="en-GB"/>
        </w:rPr>
      </w:pPr>
    </w:p>
    <w:sectPr w:rsidR="00141C71" w:rsidRPr="003F4F12" w:rsidSect="007A6CE5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6272B" w14:textId="77777777" w:rsidR="00EA0910" w:rsidRDefault="00EA0910" w:rsidP="00495DA2">
      <w:pPr>
        <w:spacing w:after="0" w:line="240" w:lineRule="auto"/>
      </w:pPr>
      <w:r>
        <w:separator/>
      </w:r>
    </w:p>
  </w:endnote>
  <w:endnote w:type="continuationSeparator" w:id="0">
    <w:p w14:paraId="2D6EDCEF" w14:textId="77777777" w:rsidR="00EA0910" w:rsidRDefault="00EA0910" w:rsidP="0049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098306"/>
      <w:docPartObj>
        <w:docPartGallery w:val="Page Numbers (Bottom of Page)"/>
        <w:docPartUnique/>
      </w:docPartObj>
    </w:sdtPr>
    <w:sdtContent>
      <w:p w14:paraId="08027937" w14:textId="73529653" w:rsidR="008978A2" w:rsidRDefault="008978A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044">
          <w:rPr>
            <w:noProof/>
          </w:rPr>
          <w:t>3</w:t>
        </w:r>
        <w:r>
          <w:fldChar w:fldCharType="end"/>
        </w:r>
      </w:p>
    </w:sdtContent>
  </w:sdt>
  <w:p w14:paraId="060F8F3B" w14:textId="77777777" w:rsidR="008978A2" w:rsidRDefault="008978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7140A" w14:textId="77777777" w:rsidR="00EA0910" w:rsidRDefault="00EA0910" w:rsidP="00495DA2">
      <w:pPr>
        <w:spacing w:after="0" w:line="240" w:lineRule="auto"/>
      </w:pPr>
      <w:r>
        <w:separator/>
      </w:r>
    </w:p>
  </w:footnote>
  <w:footnote w:type="continuationSeparator" w:id="0">
    <w:p w14:paraId="2760DC80" w14:textId="77777777" w:rsidR="00EA0910" w:rsidRDefault="00EA0910" w:rsidP="0049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84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8E215F"/>
    <w:multiLevelType w:val="hybridMultilevel"/>
    <w:tmpl w:val="3AFC35DA"/>
    <w:lvl w:ilvl="0" w:tplc="A09857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07C9"/>
    <w:multiLevelType w:val="multilevel"/>
    <w:tmpl w:val="93641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0729513C"/>
    <w:multiLevelType w:val="multilevel"/>
    <w:tmpl w:val="DB12E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655859"/>
    <w:multiLevelType w:val="hybridMultilevel"/>
    <w:tmpl w:val="0C547452"/>
    <w:lvl w:ilvl="0" w:tplc="0C07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5B0230"/>
    <w:multiLevelType w:val="multilevel"/>
    <w:tmpl w:val="583C773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1D934EA"/>
    <w:multiLevelType w:val="multilevel"/>
    <w:tmpl w:val="4EFC9B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7">
    <w:nsid w:val="24FC0FD0"/>
    <w:multiLevelType w:val="multilevel"/>
    <w:tmpl w:val="05EC9B8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5A862F8"/>
    <w:multiLevelType w:val="multilevel"/>
    <w:tmpl w:val="09CAE94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9">
    <w:nsid w:val="273A036A"/>
    <w:multiLevelType w:val="hybridMultilevel"/>
    <w:tmpl w:val="717ABD80"/>
    <w:lvl w:ilvl="0" w:tplc="4C549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A8B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676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C08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E6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4C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A10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6F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076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9544060"/>
    <w:multiLevelType w:val="multilevel"/>
    <w:tmpl w:val="ED0CA0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1D59ED"/>
    <w:multiLevelType w:val="multilevel"/>
    <w:tmpl w:val="9A4E33F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8914067"/>
    <w:multiLevelType w:val="multilevel"/>
    <w:tmpl w:val="05EC9B8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A0054C5"/>
    <w:multiLevelType w:val="multilevel"/>
    <w:tmpl w:val="BFACAE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4">
    <w:nsid w:val="3E4762F0"/>
    <w:multiLevelType w:val="hybridMultilevel"/>
    <w:tmpl w:val="9E0A58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0A6F"/>
    <w:multiLevelType w:val="multilevel"/>
    <w:tmpl w:val="CDF6D8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4B2607"/>
    <w:multiLevelType w:val="multilevel"/>
    <w:tmpl w:val="317E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8792044"/>
    <w:multiLevelType w:val="hybridMultilevel"/>
    <w:tmpl w:val="ABBE29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207C5"/>
    <w:multiLevelType w:val="hybridMultilevel"/>
    <w:tmpl w:val="0E9A9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067AB"/>
    <w:multiLevelType w:val="multilevel"/>
    <w:tmpl w:val="AD564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BD83373"/>
    <w:multiLevelType w:val="multilevel"/>
    <w:tmpl w:val="51A0F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1">
    <w:nsid w:val="5DC342BE"/>
    <w:multiLevelType w:val="hybridMultilevel"/>
    <w:tmpl w:val="87BC9FB6"/>
    <w:lvl w:ilvl="0" w:tplc="676E7602">
      <w:start w:val="199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04031"/>
    <w:multiLevelType w:val="multilevel"/>
    <w:tmpl w:val="9A4E33F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513CBB"/>
    <w:multiLevelType w:val="multilevel"/>
    <w:tmpl w:val="FF0619D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4">
    <w:nsid w:val="71FF12F5"/>
    <w:multiLevelType w:val="multilevel"/>
    <w:tmpl w:val="057A8F0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75BD2A4E"/>
    <w:multiLevelType w:val="multilevel"/>
    <w:tmpl w:val="AACE4BF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6074BA8"/>
    <w:multiLevelType w:val="multilevel"/>
    <w:tmpl w:val="67E419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7">
    <w:nsid w:val="7FF93997"/>
    <w:multiLevelType w:val="hybridMultilevel"/>
    <w:tmpl w:val="0BF89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0"/>
  </w:num>
  <w:num w:numId="5">
    <w:abstractNumId w:val="14"/>
  </w:num>
  <w:num w:numId="6">
    <w:abstractNumId w:val="1"/>
  </w:num>
  <w:num w:numId="7">
    <w:abstractNumId w:val="27"/>
  </w:num>
  <w:num w:numId="8">
    <w:abstractNumId w:val="2"/>
  </w:num>
  <w:num w:numId="9">
    <w:abstractNumId w:val="20"/>
  </w:num>
  <w:num w:numId="10">
    <w:abstractNumId w:val="12"/>
  </w:num>
  <w:num w:numId="11">
    <w:abstractNumId w:val="6"/>
  </w:num>
  <w:num w:numId="12">
    <w:abstractNumId w:val="23"/>
  </w:num>
  <w:num w:numId="13">
    <w:abstractNumId w:val="24"/>
  </w:num>
  <w:num w:numId="14">
    <w:abstractNumId w:val="8"/>
  </w:num>
  <w:num w:numId="15">
    <w:abstractNumId w:val="22"/>
  </w:num>
  <w:num w:numId="16">
    <w:abstractNumId w:val="11"/>
  </w:num>
  <w:num w:numId="17">
    <w:abstractNumId w:val="5"/>
  </w:num>
  <w:num w:numId="18">
    <w:abstractNumId w:val="7"/>
  </w:num>
  <w:num w:numId="19">
    <w:abstractNumId w:val="15"/>
  </w:num>
  <w:num w:numId="20">
    <w:abstractNumId w:val="13"/>
  </w:num>
  <w:num w:numId="21">
    <w:abstractNumId w:val="26"/>
  </w:num>
  <w:num w:numId="22">
    <w:abstractNumId w:val="3"/>
  </w:num>
  <w:num w:numId="23">
    <w:abstractNumId w:val="16"/>
  </w:num>
  <w:num w:numId="24">
    <w:abstractNumId w:val="10"/>
  </w:num>
  <w:num w:numId="25">
    <w:abstractNumId w:val="19"/>
  </w:num>
  <w:num w:numId="26">
    <w:abstractNumId w:val="4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E6"/>
    <w:rsid w:val="00001150"/>
    <w:rsid w:val="00005793"/>
    <w:rsid w:val="00006CB8"/>
    <w:rsid w:val="00013CC8"/>
    <w:rsid w:val="00033F62"/>
    <w:rsid w:val="0004329E"/>
    <w:rsid w:val="000435DD"/>
    <w:rsid w:val="0004535E"/>
    <w:rsid w:val="00066759"/>
    <w:rsid w:val="000710A0"/>
    <w:rsid w:val="00072C9D"/>
    <w:rsid w:val="000750F7"/>
    <w:rsid w:val="00077794"/>
    <w:rsid w:val="00082095"/>
    <w:rsid w:val="00084F73"/>
    <w:rsid w:val="0009699C"/>
    <w:rsid w:val="000B5316"/>
    <w:rsid w:val="000C5CC6"/>
    <w:rsid w:val="000E390E"/>
    <w:rsid w:val="000F0879"/>
    <w:rsid w:val="00100AFE"/>
    <w:rsid w:val="00111041"/>
    <w:rsid w:val="0011458C"/>
    <w:rsid w:val="00127096"/>
    <w:rsid w:val="001324D8"/>
    <w:rsid w:val="00141C71"/>
    <w:rsid w:val="00145249"/>
    <w:rsid w:val="00146CBC"/>
    <w:rsid w:val="00151252"/>
    <w:rsid w:val="0016230B"/>
    <w:rsid w:val="00172D96"/>
    <w:rsid w:val="00180EA4"/>
    <w:rsid w:val="001852A0"/>
    <w:rsid w:val="00187530"/>
    <w:rsid w:val="001A50FE"/>
    <w:rsid w:val="001B01EC"/>
    <w:rsid w:val="001B02BE"/>
    <w:rsid w:val="001B203B"/>
    <w:rsid w:val="001B3AF7"/>
    <w:rsid w:val="001C3584"/>
    <w:rsid w:val="001C6B9A"/>
    <w:rsid w:val="001D3F94"/>
    <w:rsid w:val="001D66C4"/>
    <w:rsid w:val="001E32FF"/>
    <w:rsid w:val="001F1B81"/>
    <w:rsid w:val="001F3F49"/>
    <w:rsid w:val="001F7397"/>
    <w:rsid w:val="0020569E"/>
    <w:rsid w:val="00213164"/>
    <w:rsid w:val="00214CB9"/>
    <w:rsid w:val="002255E1"/>
    <w:rsid w:val="002256F0"/>
    <w:rsid w:val="00235F00"/>
    <w:rsid w:val="0024281B"/>
    <w:rsid w:val="00247B13"/>
    <w:rsid w:val="00247F91"/>
    <w:rsid w:val="00281158"/>
    <w:rsid w:val="0028144A"/>
    <w:rsid w:val="00282F59"/>
    <w:rsid w:val="002840B5"/>
    <w:rsid w:val="00285D58"/>
    <w:rsid w:val="002D07DA"/>
    <w:rsid w:val="002D43D2"/>
    <w:rsid w:val="002E234F"/>
    <w:rsid w:val="002E2688"/>
    <w:rsid w:val="002E55DD"/>
    <w:rsid w:val="002F7561"/>
    <w:rsid w:val="0031006F"/>
    <w:rsid w:val="00311A9A"/>
    <w:rsid w:val="00321D63"/>
    <w:rsid w:val="0032378A"/>
    <w:rsid w:val="0032702A"/>
    <w:rsid w:val="00327F7B"/>
    <w:rsid w:val="00341A67"/>
    <w:rsid w:val="0034379C"/>
    <w:rsid w:val="003521B3"/>
    <w:rsid w:val="003536D0"/>
    <w:rsid w:val="0035712E"/>
    <w:rsid w:val="00361EAC"/>
    <w:rsid w:val="00367041"/>
    <w:rsid w:val="0037776D"/>
    <w:rsid w:val="0038517D"/>
    <w:rsid w:val="003952BB"/>
    <w:rsid w:val="003956A0"/>
    <w:rsid w:val="003A0D9F"/>
    <w:rsid w:val="003B78F8"/>
    <w:rsid w:val="003C3B6C"/>
    <w:rsid w:val="003E1598"/>
    <w:rsid w:val="003F23D9"/>
    <w:rsid w:val="003F275F"/>
    <w:rsid w:val="003F4F12"/>
    <w:rsid w:val="00400152"/>
    <w:rsid w:val="00400B84"/>
    <w:rsid w:val="00406620"/>
    <w:rsid w:val="00420C29"/>
    <w:rsid w:val="004218DB"/>
    <w:rsid w:val="00422E24"/>
    <w:rsid w:val="004320B9"/>
    <w:rsid w:val="00433341"/>
    <w:rsid w:val="004512CF"/>
    <w:rsid w:val="00456044"/>
    <w:rsid w:val="00460EF9"/>
    <w:rsid w:val="00466A27"/>
    <w:rsid w:val="00487D5D"/>
    <w:rsid w:val="00495DA2"/>
    <w:rsid w:val="004A3E19"/>
    <w:rsid w:val="004B28C0"/>
    <w:rsid w:val="004B5366"/>
    <w:rsid w:val="004C09F1"/>
    <w:rsid w:val="004C34A4"/>
    <w:rsid w:val="004C43E2"/>
    <w:rsid w:val="004F280B"/>
    <w:rsid w:val="00512BA0"/>
    <w:rsid w:val="0051430A"/>
    <w:rsid w:val="00525362"/>
    <w:rsid w:val="00535546"/>
    <w:rsid w:val="0053563B"/>
    <w:rsid w:val="005458A3"/>
    <w:rsid w:val="00547660"/>
    <w:rsid w:val="00556159"/>
    <w:rsid w:val="00586DD5"/>
    <w:rsid w:val="00596743"/>
    <w:rsid w:val="005A0E47"/>
    <w:rsid w:val="005A1FC9"/>
    <w:rsid w:val="005A7B55"/>
    <w:rsid w:val="005B7C03"/>
    <w:rsid w:val="005C323E"/>
    <w:rsid w:val="005D5D1D"/>
    <w:rsid w:val="005F54A1"/>
    <w:rsid w:val="006140C6"/>
    <w:rsid w:val="00633B2E"/>
    <w:rsid w:val="00634C35"/>
    <w:rsid w:val="00637A19"/>
    <w:rsid w:val="00642270"/>
    <w:rsid w:val="0064233E"/>
    <w:rsid w:val="006438EE"/>
    <w:rsid w:val="0066573E"/>
    <w:rsid w:val="00677B13"/>
    <w:rsid w:val="00677C87"/>
    <w:rsid w:val="00683659"/>
    <w:rsid w:val="00690A41"/>
    <w:rsid w:val="0069624E"/>
    <w:rsid w:val="006A0C0A"/>
    <w:rsid w:val="006A2F4F"/>
    <w:rsid w:val="006A376E"/>
    <w:rsid w:val="006C110F"/>
    <w:rsid w:val="006C2DD7"/>
    <w:rsid w:val="006D350B"/>
    <w:rsid w:val="006E3D1D"/>
    <w:rsid w:val="006E3E60"/>
    <w:rsid w:val="006F1755"/>
    <w:rsid w:val="006F555E"/>
    <w:rsid w:val="0070058C"/>
    <w:rsid w:val="007014C0"/>
    <w:rsid w:val="00704649"/>
    <w:rsid w:val="00717F1B"/>
    <w:rsid w:val="00730D30"/>
    <w:rsid w:val="007412A4"/>
    <w:rsid w:val="00747CBC"/>
    <w:rsid w:val="00750629"/>
    <w:rsid w:val="0076423B"/>
    <w:rsid w:val="00784A78"/>
    <w:rsid w:val="00784C52"/>
    <w:rsid w:val="007A1E12"/>
    <w:rsid w:val="007A3076"/>
    <w:rsid w:val="007A6CE5"/>
    <w:rsid w:val="007C284E"/>
    <w:rsid w:val="007C4E03"/>
    <w:rsid w:val="007D6B56"/>
    <w:rsid w:val="007E14FB"/>
    <w:rsid w:val="007E32A9"/>
    <w:rsid w:val="007E430D"/>
    <w:rsid w:val="007E54F2"/>
    <w:rsid w:val="007F0C5A"/>
    <w:rsid w:val="007F7CF5"/>
    <w:rsid w:val="008075D8"/>
    <w:rsid w:val="00814C5E"/>
    <w:rsid w:val="008179ED"/>
    <w:rsid w:val="008428F6"/>
    <w:rsid w:val="00843679"/>
    <w:rsid w:val="00846CE7"/>
    <w:rsid w:val="008619F0"/>
    <w:rsid w:val="0088278B"/>
    <w:rsid w:val="00884201"/>
    <w:rsid w:val="00885C3F"/>
    <w:rsid w:val="008875EB"/>
    <w:rsid w:val="008978A2"/>
    <w:rsid w:val="008A53E9"/>
    <w:rsid w:val="008B1E70"/>
    <w:rsid w:val="008B686A"/>
    <w:rsid w:val="008E615F"/>
    <w:rsid w:val="008F04DD"/>
    <w:rsid w:val="008F15BE"/>
    <w:rsid w:val="008F538D"/>
    <w:rsid w:val="008F6FB6"/>
    <w:rsid w:val="008F798A"/>
    <w:rsid w:val="0090090D"/>
    <w:rsid w:val="00903FA4"/>
    <w:rsid w:val="00906A14"/>
    <w:rsid w:val="00906C5E"/>
    <w:rsid w:val="0091285C"/>
    <w:rsid w:val="00913B59"/>
    <w:rsid w:val="009210A3"/>
    <w:rsid w:val="00925DBC"/>
    <w:rsid w:val="0093073B"/>
    <w:rsid w:val="00930FEB"/>
    <w:rsid w:val="00945E89"/>
    <w:rsid w:val="00956F8D"/>
    <w:rsid w:val="00974B22"/>
    <w:rsid w:val="00986CBF"/>
    <w:rsid w:val="00992ADC"/>
    <w:rsid w:val="00996CD5"/>
    <w:rsid w:val="009A293C"/>
    <w:rsid w:val="009B0A30"/>
    <w:rsid w:val="009C476E"/>
    <w:rsid w:val="009C4F2E"/>
    <w:rsid w:val="009D3A14"/>
    <w:rsid w:val="009D50FC"/>
    <w:rsid w:val="009F5CA3"/>
    <w:rsid w:val="009F7ABA"/>
    <w:rsid w:val="009F7BE9"/>
    <w:rsid w:val="00A0216D"/>
    <w:rsid w:val="00A05676"/>
    <w:rsid w:val="00A156BC"/>
    <w:rsid w:val="00A24220"/>
    <w:rsid w:val="00A352BD"/>
    <w:rsid w:val="00A4418A"/>
    <w:rsid w:val="00A47F8A"/>
    <w:rsid w:val="00A525F1"/>
    <w:rsid w:val="00A563CD"/>
    <w:rsid w:val="00A56830"/>
    <w:rsid w:val="00A57BE5"/>
    <w:rsid w:val="00A70101"/>
    <w:rsid w:val="00A8153A"/>
    <w:rsid w:val="00AA0190"/>
    <w:rsid w:val="00AB2AA6"/>
    <w:rsid w:val="00AB449D"/>
    <w:rsid w:val="00AC6CB2"/>
    <w:rsid w:val="00AE19FF"/>
    <w:rsid w:val="00AE77A9"/>
    <w:rsid w:val="00AF2036"/>
    <w:rsid w:val="00B03F27"/>
    <w:rsid w:val="00B10B76"/>
    <w:rsid w:val="00B116FB"/>
    <w:rsid w:val="00B11866"/>
    <w:rsid w:val="00B2417F"/>
    <w:rsid w:val="00B26660"/>
    <w:rsid w:val="00B33B6B"/>
    <w:rsid w:val="00B43849"/>
    <w:rsid w:val="00B61340"/>
    <w:rsid w:val="00B63367"/>
    <w:rsid w:val="00B758E6"/>
    <w:rsid w:val="00B81094"/>
    <w:rsid w:val="00B81E55"/>
    <w:rsid w:val="00B866C5"/>
    <w:rsid w:val="00BA004A"/>
    <w:rsid w:val="00BA22E4"/>
    <w:rsid w:val="00BB7F13"/>
    <w:rsid w:val="00BC3D36"/>
    <w:rsid w:val="00BC64B6"/>
    <w:rsid w:val="00BD1098"/>
    <w:rsid w:val="00BE6CA5"/>
    <w:rsid w:val="00BF33D6"/>
    <w:rsid w:val="00C07728"/>
    <w:rsid w:val="00C272EC"/>
    <w:rsid w:val="00C32566"/>
    <w:rsid w:val="00C448E5"/>
    <w:rsid w:val="00C45B25"/>
    <w:rsid w:val="00C521CA"/>
    <w:rsid w:val="00C53EBC"/>
    <w:rsid w:val="00C754D3"/>
    <w:rsid w:val="00C849A4"/>
    <w:rsid w:val="00C874B4"/>
    <w:rsid w:val="00C91F92"/>
    <w:rsid w:val="00CA1D18"/>
    <w:rsid w:val="00CA6552"/>
    <w:rsid w:val="00CA7801"/>
    <w:rsid w:val="00CD4385"/>
    <w:rsid w:val="00CD7807"/>
    <w:rsid w:val="00CF2FB8"/>
    <w:rsid w:val="00D005B9"/>
    <w:rsid w:val="00D037E4"/>
    <w:rsid w:val="00D03AB9"/>
    <w:rsid w:val="00D147E6"/>
    <w:rsid w:val="00D225E6"/>
    <w:rsid w:val="00D30FE0"/>
    <w:rsid w:val="00D37CB4"/>
    <w:rsid w:val="00D555FF"/>
    <w:rsid w:val="00D56D0B"/>
    <w:rsid w:val="00D657A8"/>
    <w:rsid w:val="00D751FB"/>
    <w:rsid w:val="00D76333"/>
    <w:rsid w:val="00D81A8E"/>
    <w:rsid w:val="00D81D26"/>
    <w:rsid w:val="00DA6D94"/>
    <w:rsid w:val="00DB6D63"/>
    <w:rsid w:val="00DC4057"/>
    <w:rsid w:val="00DD4538"/>
    <w:rsid w:val="00DE3018"/>
    <w:rsid w:val="00DE3E64"/>
    <w:rsid w:val="00DF31D3"/>
    <w:rsid w:val="00E11470"/>
    <w:rsid w:val="00E17120"/>
    <w:rsid w:val="00E17147"/>
    <w:rsid w:val="00E43D0E"/>
    <w:rsid w:val="00E5372A"/>
    <w:rsid w:val="00E64B4C"/>
    <w:rsid w:val="00E65391"/>
    <w:rsid w:val="00E667F4"/>
    <w:rsid w:val="00E727EE"/>
    <w:rsid w:val="00E958DA"/>
    <w:rsid w:val="00EA0910"/>
    <w:rsid w:val="00ED7222"/>
    <w:rsid w:val="00EE2BFA"/>
    <w:rsid w:val="00F02AC4"/>
    <w:rsid w:val="00F03F17"/>
    <w:rsid w:val="00F200CE"/>
    <w:rsid w:val="00F243F6"/>
    <w:rsid w:val="00F32F97"/>
    <w:rsid w:val="00F4349B"/>
    <w:rsid w:val="00F43B32"/>
    <w:rsid w:val="00F46A54"/>
    <w:rsid w:val="00F513A5"/>
    <w:rsid w:val="00F60193"/>
    <w:rsid w:val="00F61134"/>
    <w:rsid w:val="00F7321A"/>
    <w:rsid w:val="00FB15B0"/>
    <w:rsid w:val="00FB267A"/>
    <w:rsid w:val="00FB651F"/>
    <w:rsid w:val="00FC1816"/>
    <w:rsid w:val="00FC675F"/>
    <w:rsid w:val="00FD1FB9"/>
    <w:rsid w:val="00FD21D0"/>
    <w:rsid w:val="00FD2861"/>
    <w:rsid w:val="00FD5E32"/>
    <w:rsid w:val="00FD6B4E"/>
    <w:rsid w:val="00FE2DDA"/>
    <w:rsid w:val="00FE4760"/>
    <w:rsid w:val="00FE5105"/>
    <w:rsid w:val="00FF0525"/>
    <w:rsid w:val="00FF2FEE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3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5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7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5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7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9E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07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90A41"/>
    <w:pPr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0A41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AE19FF"/>
    <w:pPr>
      <w:spacing w:after="240" w:line="240" w:lineRule="auto"/>
      <w:ind w:left="720" w:hanging="720"/>
    </w:pPr>
  </w:style>
  <w:style w:type="paragraph" w:styleId="Listenabsatz">
    <w:name w:val="List Paragraph"/>
    <w:basedOn w:val="Standard"/>
    <w:uiPriority w:val="99"/>
    <w:qFormat/>
    <w:rsid w:val="00E64B4C"/>
    <w:pPr>
      <w:ind w:left="720"/>
      <w:contextualSpacing/>
    </w:pPr>
  </w:style>
  <w:style w:type="table" w:customStyle="1" w:styleId="HelleListe1">
    <w:name w:val="Helle Liste1"/>
    <w:basedOn w:val="NormaleTabelle"/>
    <w:uiPriority w:val="61"/>
    <w:rsid w:val="00100A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784A78"/>
    <w:pPr>
      <w:spacing w:line="240" w:lineRule="auto"/>
    </w:pPr>
    <w:rPr>
      <w:rFonts w:ascii="Times New Roman" w:hAnsi="Times New Roman" w:cs="Times New Roman"/>
      <w:b/>
      <w:bCs/>
      <w:sz w:val="18"/>
      <w:szCs w:val="18"/>
      <w:lang w:val="en-GB"/>
    </w:rPr>
  </w:style>
  <w:style w:type="paragraph" w:customStyle="1" w:styleId="heading1">
    <w:name w:val="heading1"/>
    <w:basedOn w:val="Standard"/>
    <w:next w:val="Standard"/>
    <w:rsid w:val="00E727EE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Times New Roman" w:hAnsi="Arial" w:cs="Times New Roman"/>
      <w:b/>
      <w:sz w:val="32"/>
      <w:szCs w:val="20"/>
      <w:lang w:val="en-US" w:eastAsia="de-DE"/>
    </w:rPr>
  </w:style>
  <w:style w:type="table" w:customStyle="1" w:styleId="HelleSchattierung1">
    <w:name w:val="Helle Schattierung1"/>
    <w:basedOn w:val="NormaleTabelle"/>
    <w:uiPriority w:val="60"/>
    <w:rsid w:val="007E14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6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657A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B26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2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0A30"/>
    <w:pPr>
      <w:spacing w:after="120"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0A30"/>
    <w:rPr>
      <w:rFonts w:eastAsiaTheme="minorEastAsia"/>
      <w:sz w:val="20"/>
      <w:szCs w:val="20"/>
      <w:lang w:val="en-US"/>
    </w:rPr>
  </w:style>
  <w:style w:type="table" w:customStyle="1" w:styleId="Tabellenraster1">
    <w:name w:val="Tabellenraster1"/>
    <w:basedOn w:val="NormaleTabelle"/>
    <w:next w:val="Tabellenraster"/>
    <w:uiPriority w:val="59"/>
    <w:rsid w:val="009B0A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D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A376E"/>
    <w:pPr>
      <w:outlineLvl w:val="9"/>
    </w:pPr>
    <w:rPr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6A376E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A376E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6A376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6A376E"/>
    <w:rPr>
      <w:color w:val="0000FF" w:themeColor="hyperlink"/>
      <w:u w:val="single"/>
    </w:rPr>
  </w:style>
  <w:style w:type="table" w:customStyle="1" w:styleId="HelleListe11">
    <w:name w:val="Helle Liste11"/>
    <w:basedOn w:val="NormaleTabelle"/>
    <w:uiPriority w:val="61"/>
    <w:rsid w:val="00FD28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2">
    <w:name w:val="Helle Liste2"/>
    <w:basedOn w:val="NormaleTabelle"/>
    <w:uiPriority w:val="61"/>
    <w:rsid w:val="00FD28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DDA"/>
    <w:pPr>
      <w:spacing w:after="200"/>
    </w:pPr>
    <w:rPr>
      <w:rFonts w:eastAsiaTheme="minorHAns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DDA"/>
    <w:rPr>
      <w:rFonts w:eastAsiaTheme="minorEastAsia"/>
      <w:b/>
      <w:bCs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9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DA2"/>
  </w:style>
  <w:style w:type="paragraph" w:styleId="Fuzeile">
    <w:name w:val="footer"/>
    <w:basedOn w:val="Standard"/>
    <w:link w:val="FuzeileZchn"/>
    <w:uiPriority w:val="99"/>
    <w:unhideWhenUsed/>
    <w:rsid w:val="0049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5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7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5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7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9E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07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90A41"/>
    <w:pPr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0A41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AE19FF"/>
    <w:pPr>
      <w:spacing w:after="240" w:line="240" w:lineRule="auto"/>
      <w:ind w:left="720" w:hanging="720"/>
    </w:pPr>
  </w:style>
  <w:style w:type="paragraph" w:styleId="Listenabsatz">
    <w:name w:val="List Paragraph"/>
    <w:basedOn w:val="Standard"/>
    <w:uiPriority w:val="99"/>
    <w:qFormat/>
    <w:rsid w:val="00E64B4C"/>
    <w:pPr>
      <w:ind w:left="720"/>
      <w:contextualSpacing/>
    </w:pPr>
  </w:style>
  <w:style w:type="table" w:customStyle="1" w:styleId="HelleListe1">
    <w:name w:val="Helle Liste1"/>
    <w:basedOn w:val="NormaleTabelle"/>
    <w:uiPriority w:val="61"/>
    <w:rsid w:val="00100A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784A78"/>
    <w:pPr>
      <w:spacing w:line="240" w:lineRule="auto"/>
    </w:pPr>
    <w:rPr>
      <w:rFonts w:ascii="Times New Roman" w:hAnsi="Times New Roman" w:cs="Times New Roman"/>
      <w:b/>
      <w:bCs/>
      <w:sz w:val="18"/>
      <w:szCs w:val="18"/>
      <w:lang w:val="en-GB"/>
    </w:rPr>
  </w:style>
  <w:style w:type="paragraph" w:customStyle="1" w:styleId="heading1">
    <w:name w:val="heading1"/>
    <w:basedOn w:val="Standard"/>
    <w:next w:val="Standard"/>
    <w:rsid w:val="00E727EE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Times New Roman" w:hAnsi="Arial" w:cs="Times New Roman"/>
      <w:b/>
      <w:sz w:val="32"/>
      <w:szCs w:val="20"/>
      <w:lang w:val="en-US" w:eastAsia="de-DE"/>
    </w:rPr>
  </w:style>
  <w:style w:type="table" w:customStyle="1" w:styleId="HelleSchattierung1">
    <w:name w:val="Helle Schattierung1"/>
    <w:basedOn w:val="NormaleTabelle"/>
    <w:uiPriority w:val="60"/>
    <w:rsid w:val="007E14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6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657A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B26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2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0A30"/>
    <w:pPr>
      <w:spacing w:after="120"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0A30"/>
    <w:rPr>
      <w:rFonts w:eastAsiaTheme="minorEastAsia"/>
      <w:sz w:val="20"/>
      <w:szCs w:val="20"/>
      <w:lang w:val="en-US"/>
    </w:rPr>
  </w:style>
  <w:style w:type="table" w:customStyle="1" w:styleId="Tabellenraster1">
    <w:name w:val="Tabellenraster1"/>
    <w:basedOn w:val="NormaleTabelle"/>
    <w:next w:val="Tabellenraster"/>
    <w:uiPriority w:val="59"/>
    <w:rsid w:val="009B0A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D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A376E"/>
    <w:pPr>
      <w:outlineLvl w:val="9"/>
    </w:pPr>
    <w:rPr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6A376E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A376E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6A376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6A376E"/>
    <w:rPr>
      <w:color w:val="0000FF" w:themeColor="hyperlink"/>
      <w:u w:val="single"/>
    </w:rPr>
  </w:style>
  <w:style w:type="table" w:customStyle="1" w:styleId="HelleListe11">
    <w:name w:val="Helle Liste11"/>
    <w:basedOn w:val="NormaleTabelle"/>
    <w:uiPriority w:val="61"/>
    <w:rsid w:val="00FD28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2">
    <w:name w:val="Helle Liste2"/>
    <w:basedOn w:val="NormaleTabelle"/>
    <w:uiPriority w:val="61"/>
    <w:rsid w:val="00FD28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DDA"/>
    <w:pPr>
      <w:spacing w:after="200"/>
    </w:pPr>
    <w:rPr>
      <w:rFonts w:eastAsiaTheme="minorHAns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DDA"/>
    <w:rPr>
      <w:rFonts w:eastAsiaTheme="minorEastAsia"/>
      <w:b/>
      <w:bCs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9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DA2"/>
  </w:style>
  <w:style w:type="paragraph" w:styleId="Fuzeile">
    <w:name w:val="footer"/>
    <w:basedOn w:val="Standard"/>
    <w:link w:val="FuzeileZchn"/>
    <w:uiPriority w:val="99"/>
    <w:unhideWhenUsed/>
    <w:rsid w:val="0049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431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9E06-15BE-4A87-AC56-A4E43314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niedertm</dc:creator>
  <cp:lastModifiedBy>Maria</cp:lastModifiedBy>
  <cp:revision>2</cp:revision>
  <cp:lastPrinted>2014-05-23T09:08:00Z</cp:lastPrinted>
  <dcterms:created xsi:type="dcterms:W3CDTF">2014-07-07T07:54:00Z</dcterms:created>
  <dcterms:modified xsi:type="dcterms:W3CDTF">2014-07-07T07:54:00Z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zotero-version="4.0.17.1"&gt;&lt;session id="Kw6VjiGC"/&gt;&lt;style id="http://www.zotero.org/styles/harvard1" hasBibliography="1" bibliographyStyleHasBeenSet="1"/&gt;&lt;prefs&gt;&lt;pref name="fieldType" value="Field"/&gt;&lt;pref name="storeReferences" value</vt:lpwstr>
  </property>
  <property fmtid="{D5CDD505-2E9C-101B-9397-08002B2CF9AE}" pid="3" name="ZOTERO_PREF_2">
    <vt:lpwstr>="true"/&gt;&lt;pref name="automaticJournalAbbreviations" value="false"/&gt;&lt;pref name="noteType" value="0"/&gt;&lt;/prefs&gt;&lt;/data&gt;</vt:lpwstr>
  </property>
</Properties>
</file>